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ayout w:type="fixed"/>
        <w:tblLook w:val="04A0" w:firstRow="1" w:lastRow="0" w:firstColumn="1" w:lastColumn="0" w:noHBand="0" w:noVBand="1"/>
      </w:tblPr>
      <w:tblGrid>
        <w:gridCol w:w="5209"/>
        <w:gridCol w:w="5247"/>
      </w:tblGrid>
      <w:tr w:rsidR="007B3FF1" w:rsidRPr="00EF101D" w:rsidTr="00EF101D">
        <w:tc>
          <w:tcPr>
            <w:tcW w:w="5209" w:type="dxa"/>
          </w:tcPr>
          <w:p w:rsidR="007B3FF1" w:rsidRDefault="007B3FF1" w:rsidP="00EF101D">
            <w:pPr>
              <w:rPr>
                <w:rFonts w:ascii="Verdana" w:hAnsi="Verdana"/>
                <w:sz w:val="20"/>
                <w:szCs w:val="20"/>
              </w:rPr>
            </w:pPr>
          </w:p>
          <w:p w:rsidR="00980C5C" w:rsidRDefault="00980C5C" w:rsidP="00EF101D">
            <w:pPr>
              <w:rPr>
                <w:rFonts w:ascii="Verdana" w:hAnsi="Verdana"/>
                <w:sz w:val="20"/>
                <w:szCs w:val="20"/>
              </w:rPr>
            </w:pPr>
            <w:r w:rsidRPr="00841F41">
              <w:rPr>
                <w:noProof/>
                <w:lang w:eastAsia="lv-LV"/>
              </w:rPr>
              <w:drawing>
                <wp:inline distT="0" distB="0" distL="0" distR="0" wp14:anchorId="165A760B" wp14:editId="276F4BEE">
                  <wp:extent cx="1418562" cy="5657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461684" cy="582984"/>
                          </a:xfrm>
                          <a:prstGeom prst="rect">
                            <a:avLst/>
                          </a:prstGeom>
                        </pic:spPr>
                      </pic:pic>
                    </a:graphicData>
                  </a:graphic>
                </wp:inline>
              </w:drawing>
            </w:r>
          </w:p>
          <w:p w:rsidR="00980C5C" w:rsidRPr="00EF101D" w:rsidRDefault="00980C5C" w:rsidP="00EF101D">
            <w:pPr>
              <w:rPr>
                <w:rFonts w:ascii="Verdana" w:hAnsi="Verdana"/>
                <w:sz w:val="20"/>
                <w:szCs w:val="20"/>
              </w:rPr>
            </w:pPr>
          </w:p>
        </w:tc>
        <w:tc>
          <w:tcPr>
            <w:tcW w:w="5247" w:type="dxa"/>
          </w:tcPr>
          <w:p w:rsidR="007B3FF1" w:rsidRPr="00C46A59" w:rsidRDefault="007B3FF1" w:rsidP="00EF101D">
            <w:pPr>
              <w:rPr>
                <w:rFonts w:ascii="Verdana" w:hAnsi="Verdana"/>
                <w:sz w:val="20"/>
                <w:szCs w:val="20"/>
              </w:rPr>
            </w:pPr>
          </w:p>
        </w:tc>
      </w:tr>
      <w:tr w:rsidR="00EF101D" w:rsidRPr="007B3FF1" w:rsidTr="00EF101D">
        <w:tc>
          <w:tcPr>
            <w:tcW w:w="5209" w:type="dxa"/>
          </w:tcPr>
          <w:p w:rsidR="00EF101D" w:rsidRPr="007B3FF1" w:rsidRDefault="00EF101D" w:rsidP="00EF101D">
            <w:pPr>
              <w:rPr>
                <w:rFonts w:ascii="Verdana" w:hAnsi="Verdana"/>
                <w:b/>
                <w:bCs/>
                <w:sz w:val="20"/>
                <w:szCs w:val="20"/>
              </w:rPr>
            </w:pPr>
            <w:r w:rsidRPr="007B3FF1">
              <w:rPr>
                <w:rFonts w:ascii="Verdana" w:hAnsi="Verdana"/>
                <w:b/>
                <w:bCs/>
                <w:sz w:val="20"/>
                <w:szCs w:val="20"/>
              </w:rPr>
              <w:t>Reģistra uzturētāja cenrādis un norēķinu kārtība</w:t>
            </w:r>
          </w:p>
        </w:tc>
        <w:tc>
          <w:tcPr>
            <w:tcW w:w="5247" w:type="dxa"/>
          </w:tcPr>
          <w:p w:rsidR="00EF101D" w:rsidRPr="007B3FF1" w:rsidRDefault="00EF101D" w:rsidP="00EF101D">
            <w:pPr>
              <w:rPr>
                <w:rFonts w:ascii="Verdana" w:hAnsi="Verdana"/>
                <w:b/>
                <w:bCs/>
                <w:sz w:val="20"/>
                <w:szCs w:val="20"/>
              </w:rPr>
            </w:pPr>
            <w:r w:rsidRPr="007B3FF1">
              <w:rPr>
                <w:rFonts w:ascii="Verdana" w:hAnsi="Verdana"/>
                <w:b/>
                <w:bCs/>
                <w:sz w:val="20"/>
                <w:szCs w:val="20"/>
              </w:rPr>
              <w:t>The Price list and payment policy of NIC.LV</w:t>
            </w:r>
          </w:p>
        </w:tc>
      </w:tr>
      <w:tr w:rsidR="00EF101D" w:rsidRPr="00EF101D" w:rsidTr="00EF101D">
        <w:tc>
          <w:tcPr>
            <w:tcW w:w="5209" w:type="dxa"/>
          </w:tcPr>
          <w:p w:rsidR="00EF101D" w:rsidRPr="00EF101D" w:rsidRDefault="00EF101D" w:rsidP="00EF101D">
            <w:pPr>
              <w:rPr>
                <w:rFonts w:ascii="Verdana" w:hAnsi="Verdana"/>
                <w:sz w:val="20"/>
                <w:szCs w:val="20"/>
              </w:rPr>
            </w:pPr>
          </w:p>
        </w:tc>
        <w:tc>
          <w:tcPr>
            <w:tcW w:w="5247" w:type="dxa"/>
          </w:tcPr>
          <w:p w:rsidR="00EF101D" w:rsidRPr="00C46A59" w:rsidRDefault="00EF101D" w:rsidP="00EF101D">
            <w:pPr>
              <w:rPr>
                <w:rFonts w:ascii="Verdana" w:hAnsi="Verdana"/>
                <w:sz w:val="20"/>
                <w:szCs w:val="20"/>
              </w:rPr>
            </w:pPr>
          </w:p>
        </w:tc>
      </w:tr>
      <w:tr w:rsidR="00EF101D" w:rsidRPr="00EF101D" w:rsidTr="00EF101D">
        <w:tc>
          <w:tcPr>
            <w:tcW w:w="5209" w:type="dxa"/>
          </w:tcPr>
          <w:p w:rsidR="00EF101D" w:rsidRPr="00B63C7B" w:rsidRDefault="00EF101D" w:rsidP="00EF101D">
            <w:pPr>
              <w:rPr>
                <w:rFonts w:ascii="Verdana" w:hAnsi="Verdana"/>
                <w:sz w:val="20"/>
                <w:szCs w:val="20"/>
                <w:lang w:val="lv-LV"/>
              </w:rPr>
            </w:pPr>
            <w:r w:rsidRPr="00EF101D">
              <w:rPr>
                <w:rFonts w:ascii="Verdana" w:hAnsi="Verdana"/>
                <w:sz w:val="20"/>
                <w:szCs w:val="20"/>
              </w:rPr>
              <w:t>Rīgā, 2018. gada 8. maijs (stājas spēkā 2018.gada 25.maijā) Grozījumi: 2019.gada 17.maijs (stājas spēkā 2019.gada 22.maijā)</w:t>
            </w:r>
            <w:r w:rsidR="006B0EF3">
              <w:rPr>
                <w:rFonts w:ascii="Verdana" w:hAnsi="Verdana"/>
                <w:sz w:val="20"/>
                <w:szCs w:val="20"/>
                <w:lang w:val="lv-LV"/>
              </w:rPr>
              <w:t xml:space="preserve">, </w:t>
            </w:r>
            <w:r w:rsidR="006B0EF3" w:rsidRPr="00B63C7B">
              <w:rPr>
                <w:rFonts w:ascii="Verdana" w:hAnsi="Verdana"/>
                <w:color w:val="000000" w:themeColor="text1"/>
                <w:sz w:val="20"/>
                <w:szCs w:val="20"/>
              </w:rPr>
              <w:t>2023.gada 1.septembris</w:t>
            </w:r>
            <w:r w:rsidR="00B63C7B">
              <w:rPr>
                <w:rFonts w:ascii="Verdana" w:hAnsi="Verdana"/>
                <w:color w:val="000000" w:themeColor="text1"/>
                <w:sz w:val="20"/>
                <w:szCs w:val="20"/>
                <w:lang w:val="lv-LV"/>
              </w:rPr>
              <w:t>.</w:t>
            </w:r>
          </w:p>
        </w:tc>
        <w:tc>
          <w:tcPr>
            <w:tcW w:w="5247" w:type="dxa"/>
          </w:tcPr>
          <w:p w:rsidR="00EF101D" w:rsidRPr="00C46A59" w:rsidRDefault="00EF101D" w:rsidP="00EF101D">
            <w:pPr>
              <w:rPr>
                <w:rFonts w:ascii="Verdana" w:hAnsi="Verdana"/>
                <w:sz w:val="20"/>
                <w:szCs w:val="20"/>
              </w:rPr>
            </w:pPr>
            <w:r w:rsidRPr="00C46A59">
              <w:rPr>
                <w:rFonts w:ascii="Verdana" w:hAnsi="Verdana"/>
                <w:sz w:val="20"/>
                <w:szCs w:val="20"/>
              </w:rPr>
              <w:t>Riga, 8 May 2018 (enters into force on 25 May 2018) Amended: 17 May 2019 (enters into force on 22 May 2019</w:t>
            </w:r>
            <w:r w:rsidR="006B0EF3" w:rsidRPr="00B63C7B">
              <w:rPr>
                <w:rFonts w:ascii="Verdana" w:hAnsi="Verdana"/>
                <w:color w:val="000000" w:themeColor="text1"/>
                <w:sz w:val="20"/>
                <w:szCs w:val="20"/>
                <w:lang w:val="en-GB"/>
              </w:rPr>
              <w:t>), 1 September 2023</w:t>
            </w:r>
            <w:r w:rsidR="00B63C7B">
              <w:rPr>
                <w:rFonts w:ascii="Verdana" w:hAnsi="Verdana"/>
                <w:color w:val="000000" w:themeColor="text1"/>
                <w:sz w:val="20"/>
                <w:szCs w:val="20"/>
                <w:lang w:val="en-GB"/>
              </w:rPr>
              <w:t>.</w:t>
            </w:r>
          </w:p>
        </w:tc>
      </w:tr>
      <w:tr w:rsidR="00EF101D" w:rsidRPr="00EF101D" w:rsidTr="00EF101D">
        <w:tc>
          <w:tcPr>
            <w:tcW w:w="5209" w:type="dxa"/>
          </w:tcPr>
          <w:p w:rsidR="00EF101D" w:rsidRPr="00EF101D" w:rsidRDefault="00EF101D" w:rsidP="00EF101D">
            <w:pPr>
              <w:rPr>
                <w:rFonts w:ascii="Verdana" w:hAnsi="Verdana"/>
                <w:sz w:val="20"/>
                <w:szCs w:val="20"/>
              </w:rPr>
            </w:pPr>
          </w:p>
        </w:tc>
        <w:tc>
          <w:tcPr>
            <w:tcW w:w="5247" w:type="dxa"/>
          </w:tcPr>
          <w:p w:rsidR="00EF101D" w:rsidRPr="00C46A59" w:rsidRDefault="00EF101D" w:rsidP="00EF101D">
            <w:pPr>
              <w:rPr>
                <w:rFonts w:ascii="Verdana" w:hAnsi="Verdana"/>
                <w:sz w:val="20"/>
                <w:szCs w:val="20"/>
              </w:rPr>
            </w:pPr>
          </w:p>
        </w:tc>
      </w:tr>
      <w:tr w:rsidR="007B3FF1" w:rsidRPr="007B3FF1" w:rsidTr="00EF101D">
        <w:tc>
          <w:tcPr>
            <w:tcW w:w="5209"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1.</w:t>
            </w:r>
            <w:r w:rsidRPr="007B3FF1">
              <w:rPr>
                <w:rFonts w:ascii="Verdana" w:hAnsi="Verdana"/>
                <w:b/>
                <w:bCs/>
                <w:color w:val="3399CC"/>
                <w:sz w:val="20"/>
                <w:szCs w:val="20"/>
              </w:rPr>
              <w:tab/>
              <w:t>VISPĀRĪGIE NOTEIKUMI</w:t>
            </w:r>
          </w:p>
        </w:tc>
        <w:tc>
          <w:tcPr>
            <w:tcW w:w="5247"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1.</w:t>
            </w:r>
            <w:r w:rsidRPr="007B3FF1">
              <w:rPr>
                <w:rFonts w:ascii="Verdana" w:hAnsi="Verdana"/>
                <w:b/>
                <w:bCs/>
                <w:color w:val="3399CC"/>
                <w:sz w:val="20"/>
                <w:szCs w:val="20"/>
              </w:rPr>
              <w:tab/>
              <w:t>GENERAL TERMS</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t>1.</w:t>
            </w:r>
            <w:r w:rsidRPr="00EF101D">
              <w:rPr>
                <w:rFonts w:ascii="Verdana" w:hAnsi="Verdana"/>
                <w:sz w:val="20"/>
                <w:szCs w:val="20"/>
              </w:rPr>
              <w:t>1.</w:t>
            </w:r>
            <w:r w:rsidRPr="00EF101D">
              <w:rPr>
                <w:rFonts w:ascii="Verdana" w:hAnsi="Verdana"/>
                <w:sz w:val="20"/>
                <w:szCs w:val="20"/>
              </w:rPr>
              <w:tab/>
              <w:t>Šo kārtību piemēro gadījumos, kad augstākā līmeņa domēnā .lv domēna vārda lietotājam pakalpojumus nodrošina Reģistra uzturētājs.</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1.</w:t>
            </w:r>
            <w:r w:rsidRPr="00C46A59">
              <w:rPr>
                <w:rFonts w:ascii="Verdana" w:hAnsi="Verdana"/>
                <w:sz w:val="20"/>
                <w:szCs w:val="20"/>
              </w:rPr>
              <w:t>1.</w:t>
            </w:r>
            <w:r w:rsidRPr="00C46A59">
              <w:rPr>
                <w:rFonts w:ascii="Verdana" w:hAnsi="Verdana"/>
                <w:sz w:val="20"/>
                <w:szCs w:val="20"/>
              </w:rPr>
              <w:tab/>
              <w:t>This policy is applicable, if the Registry provides services to the holder of a domain name under the top level domain .lv.</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t>1.</w:t>
            </w:r>
            <w:r w:rsidRPr="00EF101D">
              <w:rPr>
                <w:rFonts w:ascii="Verdana" w:hAnsi="Verdana"/>
                <w:sz w:val="20"/>
                <w:szCs w:val="20"/>
              </w:rPr>
              <w:t>2.</w:t>
            </w:r>
            <w:r w:rsidRPr="00EF101D">
              <w:rPr>
                <w:rFonts w:ascii="Verdana" w:hAnsi="Verdana"/>
                <w:sz w:val="20"/>
                <w:szCs w:val="20"/>
              </w:rPr>
              <w:tab/>
              <w:t>Kārtībā lietotajiem terminiem ir tāda pati nozīme, kāda tā lietota Domēna vārdu lietošanas noteikumos augstākā līmeņa domēnā .lv.</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1.</w:t>
            </w:r>
            <w:r w:rsidRPr="00C46A59">
              <w:rPr>
                <w:rFonts w:ascii="Verdana" w:hAnsi="Verdana"/>
                <w:sz w:val="20"/>
                <w:szCs w:val="20"/>
              </w:rPr>
              <w:t>2.</w:t>
            </w:r>
            <w:r w:rsidRPr="00C46A59">
              <w:rPr>
                <w:rFonts w:ascii="Verdana" w:hAnsi="Verdana"/>
                <w:sz w:val="20"/>
                <w:szCs w:val="20"/>
              </w:rPr>
              <w:tab/>
              <w:t>Terms used in this policy herein shall have the meaning given to them in the Policy for acquisition of the right to use domain names under the top level domain .lv.</w:t>
            </w:r>
          </w:p>
        </w:tc>
      </w:tr>
      <w:tr w:rsidR="007B3FF1" w:rsidRPr="007B3FF1" w:rsidTr="00EF101D">
        <w:tc>
          <w:tcPr>
            <w:tcW w:w="5209"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2.</w:t>
            </w:r>
            <w:r w:rsidRPr="007B3FF1">
              <w:rPr>
                <w:rFonts w:ascii="Verdana" w:hAnsi="Verdana"/>
                <w:b/>
                <w:bCs/>
                <w:color w:val="3399CC"/>
                <w:sz w:val="20"/>
                <w:szCs w:val="20"/>
              </w:rPr>
              <w:tab/>
              <w:t>CENRĀDIS</w:t>
            </w:r>
          </w:p>
        </w:tc>
        <w:tc>
          <w:tcPr>
            <w:tcW w:w="5247"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2.</w:t>
            </w:r>
            <w:r w:rsidRPr="007B3FF1">
              <w:rPr>
                <w:rFonts w:ascii="Verdana" w:hAnsi="Verdana"/>
                <w:b/>
                <w:bCs/>
                <w:color w:val="3399CC"/>
                <w:sz w:val="20"/>
                <w:szCs w:val="20"/>
              </w:rPr>
              <w:tab/>
              <w:t>PRICE LIST</w:t>
            </w:r>
          </w:p>
        </w:tc>
      </w:tr>
      <w:tr w:rsidR="00EF101D" w:rsidRPr="00EF101D" w:rsidTr="00EF101D">
        <w:tc>
          <w:tcPr>
            <w:tcW w:w="5209" w:type="dxa"/>
          </w:tcPr>
          <w:p w:rsidR="00EF101D" w:rsidRPr="00EF101D" w:rsidRDefault="00EF101D" w:rsidP="00EF101D">
            <w:pPr>
              <w:rPr>
                <w:rFonts w:ascii="Verdana" w:hAnsi="Verdana"/>
                <w:sz w:val="20"/>
                <w:szCs w:val="20"/>
                <w:lang w:val="lv-LV"/>
              </w:rPr>
            </w:pPr>
            <w:r w:rsidRPr="00EF101D">
              <w:rPr>
                <w:rFonts w:ascii="Verdana" w:hAnsi="Verdana"/>
                <w:sz w:val="20"/>
                <w:szCs w:val="20"/>
              </w:rPr>
              <w:t>Domēna vārda lietošanas tiesību apmaksas minimālais periods ir 1 gads. Maksa par domēna vārdu lietošanas tiesībām ir</w:t>
            </w:r>
            <w:r w:rsidRPr="00EF101D">
              <w:rPr>
                <w:rFonts w:ascii="Verdana" w:hAnsi="Verdana"/>
                <w:sz w:val="20"/>
                <w:szCs w:val="20"/>
                <w:lang w:val="lv-LV"/>
              </w:rPr>
              <w:t>:</w:t>
            </w:r>
          </w:p>
        </w:tc>
        <w:tc>
          <w:tcPr>
            <w:tcW w:w="5247" w:type="dxa"/>
          </w:tcPr>
          <w:p w:rsidR="00EF101D" w:rsidRPr="00C46A59" w:rsidRDefault="00EF101D" w:rsidP="00EF101D">
            <w:pPr>
              <w:rPr>
                <w:rFonts w:ascii="Verdana" w:hAnsi="Verdana"/>
                <w:sz w:val="20"/>
                <w:szCs w:val="20"/>
              </w:rPr>
            </w:pPr>
            <w:r w:rsidRPr="00C46A59">
              <w:rPr>
                <w:rFonts w:ascii="Verdana" w:hAnsi="Verdana"/>
                <w:sz w:val="20"/>
                <w:szCs w:val="20"/>
              </w:rPr>
              <w:t>The minimal period the payment shall be made for, is 1 year. The fee for the right to use the domain name:</w:t>
            </w:r>
          </w:p>
        </w:tc>
      </w:tr>
      <w:tr w:rsidR="00EF101D" w:rsidRPr="00EF101D" w:rsidTr="00EF101D">
        <w:tc>
          <w:tcPr>
            <w:tcW w:w="5209" w:type="dxa"/>
          </w:tcPr>
          <w:tbl>
            <w:tblPr>
              <w:tblW w:w="5156" w:type="dxa"/>
              <w:tblLayout w:type="fixed"/>
              <w:tblLook w:val="04A0" w:firstRow="1" w:lastRow="0" w:firstColumn="1" w:lastColumn="0" w:noHBand="0" w:noVBand="1"/>
            </w:tblPr>
            <w:tblGrid>
              <w:gridCol w:w="953"/>
              <w:gridCol w:w="917"/>
              <w:gridCol w:w="1038"/>
              <w:gridCol w:w="918"/>
              <w:gridCol w:w="1057"/>
              <w:gridCol w:w="273"/>
            </w:tblGrid>
            <w:tr w:rsidR="00EF101D" w:rsidRPr="00EF101D" w:rsidTr="007B3FF1">
              <w:trPr>
                <w:gridAfter w:val="1"/>
                <w:wAfter w:w="272" w:type="dxa"/>
                <w:trHeight w:val="130"/>
              </w:trPr>
              <w:tc>
                <w:tcPr>
                  <w:tcW w:w="9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Perioda garums (gadi)</w:t>
                  </w:r>
                </w:p>
              </w:tc>
              <w:tc>
                <w:tcPr>
                  <w:tcW w:w="1955" w:type="dxa"/>
                  <w:gridSpan w:val="2"/>
                  <w:tcBorders>
                    <w:top w:val="single" w:sz="4" w:space="0" w:color="auto"/>
                    <w:left w:val="nil"/>
                    <w:bottom w:val="single" w:sz="4" w:space="0" w:color="auto"/>
                    <w:right w:val="single" w:sz="4" w:space="0" w:color="auto"/>
                  </w:tcBorders>
                  <w:shd w:val="clear" w:color="auto" w:fill="auto"/>
                  <w:noWrap/>
                  <w:vAlign w:val="bottom"/>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Tradicionālais domēna vārds</w:t>
                  </w:r>
                </w:p>
              </w:tc>
              <w:tc>
                <w:tcPr>
                  <w:tcW w:w="1975" w:type="dxa"/>
                  <w:gridSpan w:val="2"/>
                  <w:tcBorders>
                    <w:top w:val="single" w:sz="4" w:space="0" w:color="auto"/>
                    <w:left w:val="nil"/>
                    <w:bottom w:val="single" w:sz="4" w:space="0" w:color="auto"/>
                    <w:right w:val="single" w:sz="4" w:space="0" w:color="auto"/>
                  </w:tcBorders>
                  <w:shd w:val="clear" w:color="auto" w:fill="auto"/>
                  <w:noWrap/>
                  <w:vAlign w:val="bottom"/>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Latviskais domēna vārds</w:t>
                  </w:r>
                </w:p>
              </w:tc>
            </w:tr>
            <w:tr w:rsidR="00EF101D" w:rsidRPr="00EF101D" w:rsidTr="007B3FF1">
              <w:trPr>
                <w:gridAfter w:val="1"/>
                <w:wAfter w:w="273" w:type="dxa"/>
                <w:trHeight w:val="293"/>
              </w:trPr>
              <w:tc>
                <w:tcPr>
                  <w:tcW w:w="954" w:type="dxa"/>
                  <w:vMerge/>
                  <w:tcBorders>
                    <w:top w:val="single" w:sz="4" w:space="0" w:color="auto"/>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Summa (EUR)</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Summa kopā ar 21% PVN (EUR)</w:t>
                  </w:r>
                </w:p>
              </w:tc>
              <w:tc>
                <w:tcPr>
                  <w:tcW w:w="9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Summa (EUR)</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EF101D" w:rsidRPr="00EF101D" w:rsidRDefault="00EF101D" w:rsidP="00EF101D">
                  <w:pPr>
                    <w:jc w:val="center"/>
                    <w:rPr>
                      <w:rFonts w:ascii="Calibri" w:hAnsi="Calibri" w:cs="Calibri"/>
                      <w:b/>
                      <w:bCs/>
                      <w:color w:val="000000"/>
                      <w:sz w:val="22"/>
                      <w:szCs w:val="22"/>
                    </w:rPr>
                  </w:pPr>
                  <w:r w:rsidRPr="00EF101D">
                    <w:rPr>
                      <w:rFonts w:ascii="Calibri" w:hAnsi="Calibri" w:cs="Calibri"/>
                      <w:b/>
                      <w:bCs/>
                      <w:color w:val="000000"/>
                      <w:sz w:val="22"/>
                      <w:szCs w:val="22"/>
                    </w:rPr>
                    <w:t>Summa kopā ar 21% PVN (EUR)</w:t>
                  </w:r>
                </w:p>
              </w:tc>
            </w:tr>
            <w:tr w:rsidR="007B3FF1" w:rsidRPr="00EF101D" w:rsidTr="007B3FF1">
              <w:trPr>
                <w:trHeight w:val="100"/>
              </w:trPr>
              <w:tc>
                <w:tcPr>
                  <w:tcW w:w="954" w:type="dxa"/>
                  <w:vMerge/>
                  <w:tcBorders>
                    <w:top w:val="single" w:sz="4" w:space="0" w:color="auto"/>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917"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37"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918"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57"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273" w:type="dxa"/>
                  <w:tcBorders>
                    <w:top w:val="nil"/>
                    <w:left w:val="nil"/>
                    <w:bottom w:val="nil"/>
                    <w:right w:val="nil"/>
                  </w:tcBorders>
                  <w:shd w:val="clear" w:color="auto" w:fill="auto"/>
                  <w:noWrap/>
                  <w:vAlign w:val="bottom"/>
                  <w:hideMark/>
                </w:tcPr>
                <w:p w:rsidR="00EF101D" w:rsidRPr="00EF101D" w:rsidRDefault="00EF101D" w:rsidP="00EF101D">
                  <w:pPr>
                    <w:jc w:val="center"/>
                    <w:rPr>
                      <w:rFonts w:ascii="Calibri" w:hAnsi="Calibri" w:cs="Calibri"/>
                      <w:b/>
                      <w:bCs/>
                      <w:color w:val="000000"/>
                      <w:sz w:val="22"/>
                      <w:szCs w:val="22"/>
                    </w:rPr>
                  </w:pPr>
                </w:p>
              </w:tc>
            </w:tr>
            <w:tr w:rsidR="007B3FF1" w:rsidRPr="00EF101D" w:rsidTr="007B3FF1">
              <w:trPr>
                <w:trHeight w:val="1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w:t>
                  </w:r>
                </w:p>
              </w:tc>
              <w:tc>
                <w:tcPr>
                  <w:tcW w:w="917"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12</w:t>
                  </w:r>
                  <w:r w:rsidR="006B0EF3">
                    <w:rPr>
                      <w:rFonts w:ascii="Calibri" w:hAnsi="Calibri" w:cs="Calibri"/>
                      <w:color w:val="000000"/>
                      <w:sz w:val="22"/>
                      <w:szCs w:val="22"/>
                      <w:lang w:val="lv-LV"/>
                    </w:rPr>
                    <w:t>,00</w:t>
                  </w:r>
                </w:p>
              </w:tc>
              <w:tc>
                <w:tcPr>
                  <w:tcW w:w="103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14,52</w:t>
                  </w:r>
                </w:p>
              </w:tc>
              <w:tc>
                <w:tcPr>
                  <w:tcW w:w="918"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8,4</w:t>
                  </w:r>
                  <w:r w:rsidR="006B0EF3">
                    <w:rPr>
                      <w:rFonts w:ascii="Calibri" w:hAnsi="Calibri" w:cs="Calibri"/>
                      <w:color w:val="000000"/>
                      <w:sz w:val="22"/>
                      <w:szCs w:val="22"/>
                      <w:lang w:val="lv-LV"/>
                    </w:rPr>
                    <w:t>0</w:t>
                  </w:r>
                </w:p>
              </w:tc>
              <w:tc>
                <w:tcPr>
                  <w:tcW w:w="105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10,16</w:t>
                  </w:r>
                </w:p>
              </w:tc>
              <w:tc>
                <w:tcPr>
                  <w:tcW w:w="273" w:type="dxa"/>
                  <w:vAlign w:val="center"/>
                  <w:hideMark/>
                </w:tcPr>
                <w:p w:rsidR="00EF101D" w:rsidRPr="00EF101D" w:rsidRDefault="00EF101D" w:rsidP="00EF101D">
                  <w:pPr>
                    <w:rPr>
                      <w:sz w:val="20"/>
                      <w:szCs w:val="20"/>
                    </w:rPr>
                  </w:pPr>
                </w:p>
              </w:tc>
            </w:tr>
            <w:tr w:rsidR="007B3FF1" w:rsidRPr="00EF101D" w:rsidTr="007B3FF1">
              <w:trPr>
                <w:trHeight w:val="1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2</w:t>
                  </w:r>
                </w:p>
              </w:tc>
              <w:tc>
                <w:tcPr>
                  <w:tcW w:w="917"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22</w:t>
                  </w:r>
                  <w:r w:rsidR="006B0EF3">
                    <w:rPr>
                      <w:rFonts w:ascii="Calibri" w:hAnsi="Calibri" w:cs="Calibri"/>
                      <w:color w:val="000000"/>
                      <w:sz w:val="22"/>
                      <w:szCs w:val="22"/>
                      <w:lang w:val="lv-LV"/>
                    </w:rPr>
                    <w:t>,00</w:t>
                  </w:r>
                </w:p>
              </w:tc>
              <w:tc>
                <w:tcPr>
                  <w:tcW w:w="103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26,62</w:t>
                  </w:r>
                </w:p>
              </w:tc>
              <w:tc>
                <w:tcPr>
                  <w:tcW w:w="918"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16</w:t>
                  </w:r>
                  <w:r w:rsidR="006B0EF3">
                    <w:rPr>
                      <w:rFonts w:ascii="Calibri" w:hAnsi="Calibri" w:cs="Calibri"/>
                      <w:color w:val="000000"/>
                      <w:sz w:val="22"/>
                      <w:szCs w:val="22"/>
                      <w:lang w:val="lv-LV"/>
                    </w:rPr>
                    <w:t>,00</w:t>
                  </w:r>
                </w:p>
              </w:tc>
              <w:tc>
                <w:tcPr>
                  <w:tcW w:w="105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19,36</w:t>
                  </w:r>
                </w:p>
              </w:tc>
              <w:tc>
                <w:tcPr>
                  <w:tcW w:w="273" w:type="dxa"/>
                  <w:vAlign w:val="center"/>
                  <w:hideMark/>
                </w:tcPr>
                <w:p w:rsidR="00EF101D" w:rsidRPr="00EF101D" w:rsidRDefault="00EF101D" w:rsidP="00EF101D">
                  <w:pPr>
                    <w:rPr>
                      <w:sz w:val="20"/>
                      <w:szCs w:val="20"/>
                    </w:rPr>
                  </w:pPr>
                </w:p>
              </w:tc>
            </w:tr>
            <w:tr w:rsidR="007B3FF1" w:rsidRPr="00EF101D" w:rsidTr="007B3FF1">
              <w:trPr>
                <w:trHeight w:val="1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3</w:t>
                  </w:r>
                </w:p>
              </w:tc>
              <w:tc>
                <w:tcPr>
                  <w:tcW w:w="917"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31</w:t>
                  </w:r>
                  <w:r w:rsidR="006B0EF3">
                    <w:rPr>
                      <w:rFonts w:ascii="Calibri" w:hAnsi="Calibri" w:cs="Calibri"/>
                      <w:color w:val="000000"/>
                      <w:sz w:val="22"/>
                      <w:szCs w:val="22"/>
                      <w:lang w:val="lv-LV"/>
                    </w:rPr>
                    <w:t>,00</w:t>
                  </w:r>
                </w:p>
              </w:tc>
              <w:tc>
                <w:tcPr>
                  <w:tcW w:w="103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37,51</w:t>
                  </w:r>
                </w:p>
              </w:tc>
              <w:tc>
                <w:tcPr>
                  <w:tcW w:w="918"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22</w:t>
                  </w:r>
                  <w:r w:rsidR="006B0EF3">
                    <w:rPr>
                      <w:rFonts w:ascii="Calibri" w:hAnsi="Calibri" w:cs="Calibri"/>
                      <w:color w:val="000000"/>
                      <w:sz w:val="22"/>
                      <w:szCs w:val="22"/>
                      <w:lang w:val="lv-LV"/>
                    </w:rPr>
                    <w:t>,00</w:t>
                  </w:r>
                </w:p>
              </w:tc>
              <w:tc>
                <w:tcPr>
                  <w:tcW w:w="105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26,62</w:t>
                  </w:r>
                </w:p>
              </w:tc>
              <w:tc>
                <w:tcPr>
                  <w:tcW w:w="273" w:type="dxa"/>
                  <w:vAlign w:val="center"/>
                  <w:hideMark/>
                </w:tcPr>
                <w:p w:rsidR="00EF101D" w:rsidRPr="00EF101D" w:rsidRDefault="00EF101D" w:rsidP="00EF101D">
                  <w:pPr>
                    <w:rPr>
                      <w:sz w:val="20"/>
                      <w:szCs w:val="20"/>
                    </w:rPr>
                  </w:pPr>
                </w:p>
              </w:tc>
            </w:tr>
            <w:tr w:rsidR="007B3FF1" w:rsidRPr="00EF101D" w:rsidTr="007B3FF1">
              <w:trPr>
                <w:trHeight w:val="1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4</w:t>
                  </w:r>
                </w:p>
              </w:tc>
              <w:tc>
                <w:tcPr>
                  <w:tcW w:w="917"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39</w:t>
                  </w:r>
                  <w:r w:rsidR="006B0EF3">
                    <w:rPr>
                      <w:rFonts w:ascii="Calibri" w:hAnsi="Calibri" w:cs="Calibri"/>
                      <w:color w:val="000000"/>
                      <w:sz w:val="22"/>
                      <w:szCs w:val="22"/>
                      <w:lang w:val="lv-LV"/>
                    </w:rPr>
                    <w:t>,00</w:t>
                  </w:r>
                </w:p>
              </w:tc>
              <w:tc>
                <w:tcPr>
                  <w:tcW w:w="103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47,19</w:t>
                  </w:r>
                </w:p>
              </w:tc>
              <w:tc>
                <w:tcPr>
                  <w:tcW w:w="918"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28</w:t>
                  </w:r>
                  <w:r w:rsidR="006B0EF3">
                    <w:rPr>
                      <w:rFonts w:ascii="Calibri" w:hAnsi="Calibri" w:cs="Calibri"/>
                      <w:color w:val="000000"/>
                      <w:sz w:val="22"/>
                      <w:szCs w:val="22"/>
                      <w:lang w:val="lv-LV"/>
                    </w:rPr>
                    <w:t>,00</w:t>
                  </w:r>
                </w:p>
              </w:tc>
              <w:tc>
                <w:tcPr>
                  <w:tcW w:w="105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33,88</w:t>
                  </w:r>
                </w:p>
              </w:tc>
              <w:tc>
                <w:tcPr>
                  <w:tcW w:w="273" w:type="dxa"/>
                  <w:vAlign w:val="center"/>
                  <w:hideMark/>
                </w:tcPr>
                <w:p w:rsidR="00EF101D" w:rsidRPr="00EF101D" w:rsidRDefault="00EF101D" w:rsidP="00EF101D">
                  <w:pPr>
                    <w:rPr>
                      <w:sz w:val="20"/>
                      <w:szCs w:val="20"/>
                    </w:rPr>
                  </w:pPr>
                </w:p>
              </w:tc>
            </w:tr>
            <w:tr w:rsidR="007B3FF1" w:rsidRPr="00EF101D" w:rsidTr="007B3FF1">
              <w:trPr>
                <w:trHeight w:val="1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5</w:t>
                  </w:r>
                </w:p>
              </w:tc>
              <w:tc>
                <w:tcPr>
                  <w:tcW w:w="917"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46</w:t>
                  </w:r>
                  <w:r w:rsidR="006B0EF3">
                    <w:rPr>
                      <w:rFonts w:ascii="Calibri" w:hAnsi="Calibri" w:cs="Calibri"/>
                      <w:color w:val="000000"/>
                      <w:sz w:val="22"/>
                      <w:szCs w:val="22"/>
                      <w:lang w:val="lv-LV"/>
                    </w:rPr>
                    <w:t>,00</w:t>
                  </w:r>
                </w:p>
              </w:tc>
              <w:tc>
                <w:tcPr>
                  <w:tcW w:w="103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55,66</w:t>
                  </w:r>
                </w:p>
              </w:tc>
              <w:tc>
                <w:tcPr>
                  <w:tcW w:w="918"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34</w:t>
                  </w:r>
                  <w:r w:rsidR="006B0EF3">
                    <w:rPr>
                      <w:rFonts w:ascii="Calibri" w:hAnsi="Calibri" w:cs="Calibri"/>
                      <w:color w:val="000000"/>
                      <w:sz w:val="22"/>
                      <w:szCs w:val="22"/>
                      <w:lang w:val="lv-LV"/>
                    </w:rPr>
                    <w:t>,00</w:t>
                  </w:r>
                </w:p>
              </w:tc>
              <w:tc>
                <w:tcPr>
                  <w:tcW w:w="1057"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41,14</w:t>
                  </w:r>
                </w:p>
              </w:tc>
              <w:tc>
                <w:tcPr>
                  <w:tcW w:w="273" w:type="dxa"/>
                  <w:vAlign w:val="center"/>
                  <w:hideMark/>
                </w:tcPr>
                <w:p w:rsidR="00EF101D" w:rsidRPr="00EF101D" w:rsidRDefault="00EF101D" w:rsidP="00EF101D">
                  <w:pPr>
                    <w:rPr>
                      <w:sz w:val="20"/>
                      <w:szCs w:val="20"/>
                    </w:rPr>
                  </w:pPr>
                </w:p>
              </w:tc>
            </w:tr>
          </w:tbl>
          <w:p w:rsidR="00EF101D" w:rsidRPr="00EF101D" w:rsidRDefault="00EF101D" w:rsidP="00EF101D">
            <w:pPr>
              <w:rPr>
                <w:rFonts w:ascii="Verdana" w:hAnsi="Verdana"/>
                <w:sz w:val="20"/>
                <w:szCs w:val="20"/>
              </w:rPr>
            </w:pPr>
          </w:p>
        </w:tc>
        <w:tc>
          <w:tcPr>
            <w:tcW w:w="5247" w:type="dxa"/>
          </w:tcPr>
          <w:tbl>
            <w:tblPr>
              <w:tblW w:w="5862" w:type="dxa"/>
              <w:tblLayout w:type="fixed"/>
              <w:tblLook w:val="04A0" w:firstRow="1" w:lastRow="0" w:firstColumn="1" w:lastColumn="0" w:noHBand="0" w:noVBand="1"/>
            </w:tblPr>
            <w:tblGrid>
              <w:gridCol w:w="1023"/>
              <w:gridCol w:w="1009"/>
              <w:gridCol w:w="1013"/>
              <w:gridCol w:w="1011"/>
              <w:gridCol w:w="1014"/>
              <w:gridCol w:w="792"/>
            </w:tblGrid>
            <w:tr w:rsidR="00EF101D" w:rsidRPr="00EF101D" w:rsidTr="007B3FF1">
              <w:trPr>
                <w:gridAfter w:val="1"/>
                <w:wAfter w:w="792" w:type="dxa"/>
                <w:trHeight w:val="139"/>
              </w:trPr>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101D" w:rsidRPr="00EF101D" w:rsidRDefault="007B3FF1" w:rsidP="00EF101D">
                  <w:pPr>
                    <w:jc w:val="center"/>
                    <w:rPr>
                      <w:rFonts w:ascii="Calibri" w:hAnsi="Calibri" w:cs="Calibri"/>
                      <w:b/>
                      <w:bCs/>
                      <w:color w:val="000000"/>
                      <w:sz w:val="22"/>
                      <w:szCs w:val="22"/>
                    </w:rPr>
                  </w:pPr>
                  <w:r w:rsidRPr="007B3FF1">
                    <w:rPr>
                      <w:rFonts w:ascii="Calibri" w:hAnsi="Calibri" w:cs="Calibri"/>
                      <w:b/>
                      <w:bCs/>
                      <w:color w:val="000000"/>
                      <w:sz w:val="22"/>
                      <w:szCs w:val="22"/>
                    </w:rPr>
                    <w:t>Period (in years)</w:t>
                  </w:r>
                </w:p>
              </w:tc>
              <w:tc>
                <w:tcPr>
                  <w:tcW w:w="2022" w:type="dxa"/>
                  <w:gridSpan w:val="2"/>
                  <w:tcBorders>
                    <w:top w:val="single" w:sz="4" w:space="0" w:color="auto"/>
                    <w:left w:val="nil"/>
                    <w:bottom w:val="single" w:sz="4" w:space="0" w:color="auto"/>
                    <w:right w:val="single" w:sz="4" w:space="0" w:color="auto"/>
                  </w:tcBorders>
                  <w:shd w:val="clear" w:color="auto" w:fill="auto"/>
                  <w:noWrap/>
                  <w:vAlign w:val="bottom"/>
                  <w:hideMark/>
                </w:tcPr>
                <w:p w:rsidR="00EF101D" w:rsidRPr="00EF101D" w:rsidRDefault="007B3FF1" w:rsidP="00EF101D">
                  <w:pPr>
                    <w:jc w:val="center"/>
                    <w:rPr>
                      <w:rFonts w:ascii="Calibri" w:hAnsi="Calibri" w:cs="Calibri"/>
                      <w:b/>
                      <w:bCs/>
                      <w:color w:val="000000"/>
                      <w:sz w:val="22"/>
                      <w:szCs w:val="22"/>
                    </w:rPr>
                  </w:pPr>
                  <w:r w:rsidRPr="007B3FF1">
                    <w:rPr>
                      <w:rFonts w:ascii="Calibri" w:hAnsi="Calibri" w:cs="Calibri"/>
                      <w:b/>
                      <w:bCs/>
                      <w:color w:val="000000"/>
                      <w:sz w:val="22"/>
                      <w:szCs w:val="22"/>
                    </w:rPr>
                    <w:t xml:space="preserve">Traditional domain name </w:t>
                  </w:r>
                </w:p>
              </w:tc>
              <w:tc>
                <w:tcPr>
                  <w:tcW w:w="2025" w:type="dxa"/>
                  <w:gridSpan w:val="2"/>
                  <w:tcBorders>
                    <w:top w:val="single" w:sz="4" w:space="0" w:color="auto"/>
                    <w:left w:val="nil"/>
                    <w:bottom w:val="single" w:sz="4" w:space="0" w:color="auto"/>
                    <w:right w:val="single" w:sz="4" w:space="0" w:color="auto"/>
                  </w:tcBorders>
                  <w:shd w:val="clear" w:color="auto" w:fill="auto"/>
                  <w:noWrap/>
                  <w:vAlign w:val="bottom"/>
                  <w:hideMark/>
                </w:tcPr>
                <w:p w:rsidR="00EF101D" w:rsidRPr="00EF101D" w:rsidRDefault="007B3FF1" w:rsidP="00EF101D">
                  <w:pPr>
                    <w:jc w:val="center"/>
                    <w:rPr>
                      <w:rFonts w:ascii="Calibri" w:hAnsi="Calibri" w:cs="Calibri"/>
                      <w:b/>
                      <w:bCs/>
                      <w:color w:val="000000"/>
                      <w:sz w:val="22"/>
                      <w:szCs w:val="22"/>
                    </w:rPr>
                  </w:pPr>
                  <w:r w:rsidRPr="007B3FF1">
                    <w:rPr>
                      <w:rFonts w:ascii="Calibri" w:hAnsi="Calibri" w:cs="Calibri"/>
                      <w:b/>
                      <w:bCs/>
                      <w:color w:val="000000"/>
                      <w:sz w:val="22"/>
                      <w:szCs w:val="22"/>
                    </w:rPr>
                    <w:t xml:space="preserve">Latvian domain name </w:t>
                  </w:r>
                </w:p>
              </w:tc>
            </w:tr>
            <w:tr w:rsidR="007B3FF1" w:rsidRPr="00EF101D" w:rsidTr="007B3FF1">
              <w:trPr>
                <w:gridAfter w:val="1"/>
                <w:wAfter w:w="792" w:type="dxa"/>
                <w:trHeight w:val="293"/>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01D" w:rsidRPr="00EF101D" w:rsidRDefault="007B3FF1" w:rsidP="00EF101D">
                  <w:pPr>
                    <w:jc w:val="center"/>
                    <w:rPr>
                      <w:rFonts w:ascii="Calibri" w:hAnsi="Calibri" w:cs="Calibri"/>
                      <w:b/>
                      <w:bCs/>
                      <w:color w:val="000000"/>
                      <w:sz w:val="22"/>
                      <w:szCs w:val="22"/>
                    </w:rPr>
                  </w:pPr>
                  <w:proofErr w:type="spellStart"/>
                  <w:r>
                    <w:rPr>
                      <w:rFonts w:ascii="Calibri" w:hAnsi="Calibri" w:cs="Calibri"/>
                      <w:b/>
                      <w:bCs/>
                      <w:color w:val="000000"/>
                      <w:sz w:val="22"/>
                      <w:szCs w:val="22"/>
                      <w:lang w:val="lv-LV"/>
                    </w:rPr>
                    <w:t>Price</w:t>
                  </w:r>
                  <w:proofErr w:type="spellEnd"/>
                  <w:r>
                    <w:rPr>
                      <w:rFonts w:ascii="Calibri" w:hAnsi="Calibri" w:cs="Calibri"/>
                      <w:b/>
                      <w:bCs/>
                      <w:color w:val="000000"/>
                      <w:sz w:val="22"/>
                      <w:szCs w:val="22"/>
                      <w:lang w:val="lv-LV"/>
                    </w:rPr>
                    <w:t xml:space="preserve"> </w:t>
                  </w:r>
                  <w:r w:rsidR="00EF101D" w:rsidRPr="00EF101D">
                    <w:rPr>
                      <w:rFonts w:ascii="Calibri" w:hAnsi="Calibri" w:cs="Calibri"/>
                      <w:b/>
                      <w:bCs/>
                      <w:color w:val="000000"/>
                      <w:sz w:val="22"/>
                      <w:szCs w:val="22"/>
                    </w:rPr>
                    <w:t>(EUR)</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rsidR="00EF101D" w:rsidRPr="00EF101D" w:rsidRDefault="007B3FF1" w:rsidP="00EF101D">
                  <w:pPr>
                    <w:jc w:val="center"/>
                    <w:rPr>
                      <w:rFonts w:ascii="Calibri" w:hAnsi="Calibri" w:cs="Calibri"/>
                      <w:b/>
                      <w:bCs/>
                      <w:color w:val="000000"/>
                      <w:sz w:val="22"/>
                      <w:szCs w:val="22"/>
                    </w:rPr>
                  </w:pPr>
                  <w:proofErr w:type="spellStart"/>
                  <w:r>
                    <w:rPr>
                      <w:rFonts w:ascii="Calibri" w:hAnsi="Calibri" w:cs="Calibri"/>
                      <w:b/>
                      <w:bCs/>
                      <w:color w:val="000000"/>
                      <w:sz w:val="22"/>
                      <w:szCs w:val="22"/>
                      <w:lang w:val="lv-LV"/>
                    </w:rPr>
                    <w:t>Price</w:t>
                  </w:r>
                  <w:proofErr w:type="spellEnd"/>
                  <w:r>
                    <w:rPr>
                      <w:rFonts w:ascii="Calibri" w:hAnsi="Calibri" w:cs="Calibri"/>
                      <w:b/>
                      <w:bCs/>
                      <w:color w:val="000000"/>
                      <w:sz w:val="22"/>
                      <w:szCs w:val="22"/>
                      <w:lang w:val="lv-LV"/>
                    </w:rPr>
                    <w:t xml:space="preserve"> </w:t>
                  </w:r>
                  <w:proofErr w:type="spellStart"/>
                  <w:r>
                    <w:rPr>
                      <w:rFonts w:ascii="Calibri" w:hAnsi="Calibri" w:cs="Calibri"/>
                      <w:b/>
                      <w:bCs/>
                      <w:color w:val="000000"/>
                      <w:sz w:val="22"/>
                      <w:szCs w:val="22"/>
                      <w:lang w:val="lv-LV"/>
                    </w:rPr>
                    <w:t>incl</w:t>
                  </w:r>
                  <w:proofErr w:type="spellEnd"/>
                  <w:r>
                    <w:rPr>
                      <w:rFonts w:ascii="Calibri" w:hAnsi="Calibri" w:cs="Calibri"/>
                      <w:b/>
                      <w:bCs/>
                      <w:color w:val="000000"/>
                      <w:sz w:val="22"/>
                      <w:szCs w:val="22"/>
                      <w:lang w:val="lv-LV"/>
                    </w:rPr>
                    <w:t>.</w:t>
                  </w:r>
                  <w:r w:rsidR="00EF101D" w:rsidRPr="00EF101D">
                    <w:rPr>
                      <w:rFonts w:ascii="Calibri" w:hAnsi="Calibri" w:cs="Calibri"/>
                      <w:b/>
                      <w:bCs/>
                      <w:color w:val="000000"/>
                      <w:sz w:val="22"/>
                      <w:szCs w:val="22"/>
                    </w:rPr>
                    <w:t xml:space="preserve"> 21% </w:t>
                  </w:r>
                  <w:r>
                    <w:rPr>
                      <w:rFonts w:ascii="Calibri" w:hAnsi="Calibri" w:cs="Calibri"/>
                      <w:b/>
                      <w:bCs/>
                      <w:color w:val="000000"/>
                      <w:sz w:val="22"/>
                      <w:szCs w:val="22"/>
                      <w:lang w:val="lv-LV"/>
                    </w:rPr>
                    <w:t>VAT</w:t>
                  </w:r>
                  <w:r w:rsidR="00EF101D" w:rsidRPr="00EF101D">
                    <w:rPr>
                      <w:rFonts w:ascii="Calibri" w:hAnsi="Calibri" w:cs="Calibri"/>
                      <w:b/>
                      <w:bCs/>
                      <w:color w:val="000000"/>
                      <w:sz w:val="22"/>
                      <w:szCs w:val="22"/>
                    </w:rPr>
                    <w:t xml:space="preserve"> (EUR)</w:t>
                  </w:r>
                </w:p>
              </w:tc>
              <w:tc>
                <w:tcPr>
                  <w:tcW w:w="10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01D" w:rsidRPr="00EF101D" w:rsidRDefault="007B3FF1" w:rsidP="00EF101D">
                  <w:pPr>
                    <w:jc w:val="center"/>
                    <w:rPr>
                      <w:rFonts w:ascii="Calibri" w:hAnsi="Calibri" w:cs="Calibri"/>
                      <w:b/>
                      <w:bCs/>
                      <w:color w:val="000000"/>
                      <w:sz w:val="22"/>
                      <w:szCs w:val="22"/>
                    </w:rPr>
                  </w:pPr>
                  <w:proofErr w:type="spellStart"/>
                  <w:r>
                    <w:rPr>
                      <w:rFonts w:ascii="Calibri" w:hAnsi="Calibri" w:cs="Calibri"/>
                      <w:b/>
                      <w:bCs/>
                      <w:color w:val="000000"/>
                      <w:sz w:val="22"/>
                      <w:szCs w:val="22"/>
                      <w:lang w:val="lv-LV"/>
                    </w:rPr>
                    <w:t>Price</w:t>
                  </w:r>
                  <w:proofErr w:type="spellEnd"/>
                  <w:r>
                    <w:rPr>
                      <w:rFonts w:ascii="Calibri" w:hAnsi="Calibri" w:cs="Calibri"/>
                      <w:b/>
                      <w:bCs/>
                      <w:color w:val="000000"/>
                      <w:sz w:val="22"/>
                      <w:szCs w:val="22"/>
                      <w:lang w:val="lv-LV"/>
                    </w:rPr>
                    <w:t xml:space="preserve"> </w:t>
                  </w:r>
                  <w:r w:rsidR="00EF101D" w:rsidRPr="00EF101D">
                    <w:rPr>
                      <w:rFonts w:ascii="Calibri" w:hAnsi="Calibri" w:cs="Calibri"/>
                      <w:b/>
                      <w:bCs/>
                      <w:color w:val="000000"/>
                      <w:sz w:val="22"/>
                      <w:szCs w:val="22"/>
                    </w:rPr>
                    <w:t>(EUR)</w:t>
                  </w:r>
                </w:p>
              </w:tc>
              <w:tc>
                <w:tcPr>
                  <w:tcW w:w="1014" w:type="dxa"/>
                  <w:vMerge w:val="restart"/>
                  <w:tcBorders>
                    <w:top w:val="nil"/>
                    <w:left w:val="single" w:sz="4" w:space="0" w:color="auto"/>
                    <w:bottom w:val="single" w:sz="4" w:space="0" w:color="auto"/>
                    <w:right w:val="single" w:sz="4" w:space="0" w:color="auto"/>
                  </w:tcBorders>
                  <w:shd w:val="clear" w:color="auto" w:fill="auto"/>
                  <w:vAlign w:val="center"/>
                  <w:hideMark/>
                </w:tcPr>
                <w:p w:rsidR="00EF101D" w:rsidRPr="00EF101D" w:rsidRDefault="007B3FF1" w:rsidP="00EF101D">
                  <w:pPr>
                    <w:jc w:val="center"/>
                    <w:rPr>
                      <w:rFonts w:ascii="Calibri" w:hAnsi="Calibri" w:cs="Calibri"/>
                      <w:b/>
                      <w:bCs/>
                      <w:color w:val="000000"/>
                      <w:sz w:val="22"/>
                      <w:szCs w:val="22"/>
                    </w:rPr>
                  </w:pPr>
                  <w:proofErr w:type="spellStart"/>
                  <w:r>
                    <w:rPr>
                      <w:rFonts w:ascii="Calibri" w:hAnsi="Calibri" w:cs="Calibri"/>
                      <w:b/>
                      <w:bCs/>
                      <w:color w:val="000000"/>
                      <w:sz w:val="22"/>
                      <w:szCs w:val="22"/>
                      <w:lang w:val="lv-LV"/>
                    </w:rPr>
                    <w:t>Price</w:t>
                  </w:r>
                  <w:proofErr w:type="spellEnd"/>
                  <w:r w:rsidRPr="00EF101D">
                    <w:rPr>
                      <w:rFonts w:ascii="Calibri" w:hAnsi="Calibri" w:cs="Calibri"/>
                      <w:b/>
                      <w:bCs/>
                      <w:color w:val="000000"/>
                      <w:sz w:val="22"/>
                      <w:szCs w:val="22"/>
                    </w:rPr>
                    <w:t xml:space="preserve"> </w:t>
                  </w:r>
                  <w:proofErr w:type="spellStart"/>
                  <w:r>
                    <w:rPr>
                      <w:rFonts w:ascii="Calibri" w:hAnsi="Calibri" w:cs="Calibri"/>
                      <w:b/>
                      <w:bCs/>
                      <w:color w:val="000000"/>
                      <w:sz w:val="22"/>
                      <w:szCs w:val="22"/>
                      <w:lang w:val="lv-LV"/>
                    </w:rPr>
                    <w:t>incl</w:t>
                  </w:r>
                  <w:proofErr w:type="spellEnd"/>
                  <w:r>
                    <w:rPr>
                      <w:rFonts w:ascii="Calibri" w:hAnsi="Calibri" w:cs="Calibri"/>
                      <w:b/>
                      <w:bCs/>
                      <w:color w:val="000000"/>
                      <w:sz w:val="22"/>
                      <w:szCs w:val="22"/>
                      <w:lang w:val="lv-LV"/>
                    </w:rPr>
                    <w:t>.</w:t>
                  </w:r>
                  <w:r w:rsidRPr="00EF101D">
                    <w:rPr>
                      <w:rFonts w:ascii="Calibri" w:hAnsi="Calibri" w:cs="Calibri"/>
                      <w:b/>
                      <w:bCs/>
                      <w:color w:val="000000"/>
                      <w:sz w:val="22"/>
                      <w:szCs w:val="22"/>
                    </w:rPr>
                    <w:t xml:space="preserve"> 21% </w:t>
                  </w:r>
                  <w:r>
                    <w:rPr>
                      <w:rFonts w:ascii="Calibri" w:hAnsi="Calibri" w:cs="Calibri"/>
                      <w:b/>
                      <w:bCs/>
                      <w:color w:val="000000"/>
                      <w:sz w:val="22"/>
                      <w:szCs w:val="22"/>
                      <w:lang w:val="lv-LV"/>
                    </w:rPr>
                    <w:t>VAT</w:t>
                  </w:r>
                  <w:r w:rsidRPr="00EF101D">
                    <w:rPr>
                      <w:rFonts w:ascii="Calibri" w:hAnsi="Calibri" w:cs="Calibri"/>
                      <w:b/>
                      <w:bCs/>
                      <w:color w:val="000000"/>
                      <w:sz w:val="22"/>
                      <w:szCs w:val="22"/>
                    </w:rPr>
                    <w:t xml:space="preserve"> (EUR)</w:t>
                  </w:r>
                </w:p>
              </w:tc>
            </w:tr>
            <w:tr w:rsidR="00EF101D" w:rsidRPr="00EF101D" w:rsidTr="007B3FF1">
              <w:trPr>
                <w:trHeight w:val="106"/>
              </w:trPr>
              <w:tc>
                <w:tcPr>
                  <w:tcW w:w="1023" w:type="dxa"/>
                  <w:vMerge/>
                  <w:tcBorders>
                    <w:top w:val="single" w:sz="4" w:space="0" w:color="auto"/>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09"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13"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11"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1014" w:type="dxa"/>
                  <w:vMerge/>
                  <w:tcBorders>
                    <w:top w:val="nil"/>
                    <w:left w:val="single" w:sz="4" w:space="0" w:color="auto"/>
                    <w:bottom w:val="single" w:sz="4" w:space="0" w:color="auto"/>
                    <w:right w:val="single" w:sz="4" w:space="0" w:color="auto"/>
                  </w:tcBorders>
                  <w:vAlign w:val="center"/>
                  <w:hideMark/>
                </w:tcPr>
                <w:p w:rsidR="00EF101D" w:rsidRPr="00EF101D" w:rsidRDefault="00EF101D" w:rsidP="00EF101D">
                  <w:pPr>
                    <w:rPr>
                      <w:rFonts w:ascii="Calibri" w:hAnsi="Calibri" w:cs="Calibri"/>
                      <w:b/>
                      <w:bCs/>
                      <w:color w:val="000000"/>
                      <w:sz w:val="22"/>
                      <w:szCs w:val="22"/>
                    </w:rPr>
                  </w:pPr>
                </w:p>
              </w:tc>
              <w:tc>
                <w:tcPr>
                  <w:tcW w:w="792" w:type="dxa"/>
                  <w:tcBorders>
                    <w:top w:val="nil"/>
                    <w:left w:val="nil"/>
                    <w:bottom w:val="nil"/>
                    <w:right w:val="nil"/>
                  </w:tcBorders>
                  <w:shd w:val="clear" w:color="auto" w:fill="auto"/>
                  <w:noWrap/>
                  <w:vAlign w:val="bottom"/>
                  <w:hideMark/>
                </w:tcPr>
                <w:p w:rsidR="00EF101D" w:rsidRPr="00EF101D" w:rsidRDefault="00EF101D" w:rsidP="00EF101D">
                  <w:pPr>
                    <w:jc w:val="center"/>
                    <w:rPr>
                      <w:rFonts w:ascii="Calibri" w:hAnsi="Calibri" w:cs="Calibri"/>
                      <w:b/>
                      <w:bCs/>
                      <w:color w:val="000000"/>
                      <w:sz w:val="22"/>
                      <w:szCs w:val="22"/>
                    </w:rPr>
                  </w:pPr>
                </w:p>
              </w:tc>
            </w:tr>
            <w:tr w:rsidR="00EF101D" w:rsidRPr="00EF101D" w:rsidTr="007B3FF1">
              <w:trPr>
                <w:trHeight w:val="106"/>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w:t>
                  </w:r>
                </w:p>
              </w:tc>
              <w:tc>
                <w:tcPr>
                  <w:tcW w:w="1009"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12</w:t>
                  </w:r>
                  <w:r w:rsidR="006B0EF3">
                    <w:rPr>
                      <w:rFonts w:ascii="Calibri" w:hAnsi="Calibri" w:cs="Calibri"/>
                      <w:color w:val="000000"/>
                      <w:sz w:val="22"/>
                      <w:szCs w:val="22"/>
                      <w:lang w:val="lv-LV"/>
                    </w:rPr>
                    <w:t>,00</w:t>
                  </w:r>
                </w:p>
              </w:tc>
              <w:tc>
                <w:tcPr>
                  <w:tcW w:w="1013"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14,52</w:t>
                  </w:r>
                </w:p>
              </w:tc>
              <w:tc>
                <w:tcPr>
                  <w:tcW w:w="1011"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8,4</w:t>
                  </w:r>
                  <w:r w:rsidR="006B0EF3">
                    <w:rPr>
                      <w:rFonts w:ascii="Calibri" w:hAnsi="Calibri" w:cs="Calibri"/>
                      <w:color w:val="000000"/>
                      <w:sz w:val="22"/>
                      <w:szCs w:val="22"/>
                      <w:lang w:val="lv-LV"/>
                    </w:rPr>
                    <w:t>0</w:t>
                  </w:r>
                </w:p>
              </w:tc>
              <w:tc>
                <w:tcPr>
                  <w:tcW w:w="1014"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10,16</w:t>
                  </w:r>
                </w:p>
              </w:tc>
              <w:tc>
                <w:tcPr>
                  <w:tcW w:w="792" w:type="dxa"/>
                  <w:vAlign w:val="center"/>
                  <w:hideMark/>
                </w:tcPr>
                <w:p w:rsidR="00EF101D" w:rsidRPr="00EF101D" w:rsidRDefault="00EF101D" w:rsidP="00EF101D">
                  <w:pPr>
                    <w:rPr>
                      <w:sz w:val="20"/>
                      <w:szCs w:val="20"/>
                    </w:rPr>
                  </w:pPr>
                </w:p>
              </w:tc>
            </w:tr>
            <w:tr w:rsidR="00EF101D" w:rsidRPr="00EF101D" w:rsidTr="007B3FF1">
              <w:trPr>
                <w:trHeight w:val="106"/>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2</w:t>
                  </w:r>
                </w:p>
              </w:tc>
              <w:tc>
                <w:tcPr>
                  <w:tcW w:w="1009"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22</w:t>
                  </w:r>
                  <w:r w:rsidR="006B0EF3">
                    <w:rPr>
                      <w:rFonts w:ascii="Calibri" w:hAnsi="Calibri" w:cs="Calibri"/>
                      <w:color w:val="000000"/>
                      <w:sz w:val="22"/>
                      <w:szCs w:val="22"/>
                      <w:lang w:val="lv-LV"/>
                    </w:rPr>
                    <w:t>,00</w:t>
                  </w:r>
                </w:p>
              </w:tc>
              <w:tc>
                <w:tcPr>
                  <w:tcW w:w="1013"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26,62</w:t>
                  </w:r>
                </w:p>
              </w:tc>
              <w:tc>
                <w:tcPr>
                  <w:tcW w:w="1011"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16</w:t>
                  </w:r>
                  <w:r w:rsidR="006B0EF3">
                    <w:rPr>
                      <w:rFonts w:ascii="Calibri" w:hAnsi="Calibri" w:cs="Calibri"/>
                      <w:color w:val="000000"/>
                      <w:sz w:val="22"/>
                      <w:szCs w:val="22"/>
                      <w:lang w:val="lv-LV"/>
                    </w:rPr>
                    <w:t>,00</w:t>
                  </w:r>
                </w:p>
              </w:tc>
              <w:tc>
                <w:tcPr>
                  <w:tcW w:w="1014"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19,36</w:t>
                  </w:r>
                </w:p>
              </w:tc>
              <w:tc>
                <w:tcPr>
                  <w:tcW w:w="792" w:type="dxa"/>
                  <w:vAlign w:val="center"/>
                  <w:hideMark/>
                </w:tcPr>
                <w:p w:rsidR="00EF101D" w:rsidRPr="00EF101D" w:rsidRDefault="00EF101D" w:rsidP="00EF101D">
                  <w:pPr>
                    <w:rPr>
                      <w:sz w:val="20"/>
                      <w:szCs w:val="20"/>
                    </w:rPr>
                  </w:pPr>
                </w:p>
              </w:tc>
            </w:tr>
            <w:tr w:rsidR="00EF101D" w:rsidRPr="00EF101D" w:rsidTr="007B3FF1">
              <w:trPr>
                <w:trHeight w:val="106"/>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3</w:t>
                  </w:r>
                </w:p>
              </w:tc>
              <w:tc>
                <w:tcPr>
                  <w:tcW w:w="1009"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31</w:t>
                  </w:r>
                  <w:r w:rsidR="006B0EF3">
                    <w:rPr>
                      <w:rFonts w:ascii="Calibri" w:hAnsi="Calibri" w:cs="Calibri"/>
                      <w:color w:val="000000"/>
                      <w:sz w:val="22"/>
                      <w:szCs w:val="22"/>
                      <w:lang w:val="lv-LV"/>
                    </w:rPr>
                    <w:t>,00</w:t>
                  </w:r>
                </w:p>
              </w:tc>
              <w:tc>
                <w:tcPr>
                  <w:tcW w:w="1013"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37,51</w:t>
                  </w:r>
                </w:p>
              </w:tc>
              <w:tc>
                <w:tcPr>
                  <w:tcW w:w="1011"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22</w:t>
                  </w:r>
                  <w:r w:rsidR="006B0EF3">
                    <w:rPr>
                      <w:rFonts w:ascii="Calibri" w:hAnsi="Calibri" w:cs="Calibri"/>
                      <w:color w:val="000000"/>
                      <w:sz w:val="22"/>
                      <w:szCs w:val="22"/>
                      <w:lang w:val="lv-LV"/>
                    </w:rPr>
                    <w:t>,00</w:t>
                  </w:r>
                </w:p>
              </w:tc>
              <w:tc>
                <w:tcPr>
                  <w:tcW w:w="1014"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26,62</w:t>
                  </w:r>
                </w:p>
              </w:tc>
              <w:tc>
                <w:tcPr>
                  <w:tcW w:w="792" w:type="dxa"/>
                  <w:vAlign w:val="center"/>
                  <w:hideMark/>
                </w:tcPr>
                <w:p w:rsidR="00EF101D" w:rsidRPr="00EF101D" w:rsidRDefault="00EF101D" w:rsidP="00EF101D">
                  <w:pPr>
                    <w:rPr>
                      <w:sz w:val="20"/>
                      <w:szCs w:val="20"/>
                    </w:rPr>
                  </w:pPr>
                </w:p>
              </w:tc>
            </w:tr>
            <w:tr w:rsidR="00EF101D" w:rsidRPr="00EF101D" w:rsidTr="007B3FF1">
              <w:trPr>
                <w:trHeight w:val="106"/>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4</w:t>
                  </w:r>
                </w:p>
              </w:tc>
              <w:tc>
                <w:tcPr>
                  <w:tcW w:w="1009"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39</w:t>
                  </w:r>
                  <w:r w:rsidR="006B0EF3">
                    <w:rPr>
                      <w:rFonts w:ascii="Calibri" w:hAnsi="Calibri" w:cs="Calibri"/>
                      <w:color w:val="000000"/>
                      <w:sz w:val="22"/>
                      <w:szCs w:val="22"/>
                      <w:lang w:val="lv-LV"/>
                    </w:rPr>
                    <w:t>,00</w:t>
                  </w:r>
                </w:p>
              </w:tc>
              <w:tc>
                <w:tcPr>
                  <w:tcW w:w="1013"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47,19</w:t>
                  </w:r>
                </w:p>
              </w:tc>
              <w:tc>
                <w:tcPr>
                  <w:tcW w:w="1011"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28</w:t>
                  </w:r>
                  <w:r w:rsidR="006B0EF3">
                    <w:rPr>
                      <w:rFonts w:ascii="Calibri" w:hAnsi="Calibri" w:cs="Calibri"/>
                      <w:color w:val="000000"/>
                      <w:sz w:val="22"/>
                      <w:szCs w:val="22"/>
                      <w:lang w:val="lv-LV"/>
                    </w:rPr>
                    <w:t>,00</w:t>
                  </w:r>
                </w:p>
              </w:tc>
              <w:tc>
                <w:tcPr>
                  <w:tcW w:w="1014"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33,88</w:t>
                  </w:r>
                </w:p>
              </w:tc>
              <w:tc>
                <w:tcPr>
                  <w:tcW w:w="792" w:type="dxa"/>
                  <w:vAlign w:val="center"/>
                  <w:hideMark/>
                </w:tcPr>
                <w:p w:rsidR="00EF101D" w:rsidRPr="00EF101D" w:rsidRDefault="00EF101D" w:rsidP="00EF101D">
                  <w:pPr>
                    <w:rPr>
                      <w:sz w:val="20"/>
                      <w:szCs w:val="20"/>
                    </w:rPr>
                  </w:pPr>
                </w:p>
              </w:tc>
            </w:tr>
            <w:tr w:rsidR="00EF101D" w:rsidRPr="00EF101D" w:rsidTr="007B3FF1">
              <w:trPr>
                <w:trHeight w:val="106"/>
              </w:trPr>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5</w:t>
                  </w:r>
                </w:p>
              </w:tc>
              <w:tc>
                <w:tcPr>
                  <w:tcW w:w="1009"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46</w:t>
                  </w:r>
                  <w:r w:rsidR="006B0EF3">
                    <w:rPr>
                      <w:rFonts w:ascii="Calibri" w:hAnsi="Calibri" w:cs="Calibri"/>
                      <w:color w:val="000000"/>
                      <w:sz w:val="22"/>
                      <w:szCs w:val="22"/>
                      <w:lang w:val="lv-LV"/>
                    </w:rPr>
                    <w:t>,00</w:t>
                  </w:r>
                </w:p>
              </w:tc>
              <w:tc>
                <w:tcPr>
                  <w:tcW w:w="1013"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55,66</w:t>
                  </w:r>
                </w:p>
              </w:tc>
              <w:tc>
                <w:tcPr>
                  <w:tcW w:w="1011" w:type="dxa"/>
                  <w:tcBorders>
                    <w:top w:val="nil"/>
                    <w:left w:val="nil"/>
                    <w:bottom w:val="single" w:sz="4" w:space="0" w:color="auto"/>
                    <w:right w:val="single" w:sz="4" w:space="0" w:color="auto"/>
                  </w:tcBorders>
                  <w:shd w:val="clear" w:color="auto" w:fill="auto"/>
                  <w:noWrap/>
                  <w:vAlign w:val="bottom"/>
                  <w:hideMark/>
                </w:tcPr>
                <w:p w:rsidR="00EF101D" w:rsidRPr="006B0EF3" w:rsidRDefault="00EF101D" w:rsidP="00EF101D">
                  <w:pPr>
                    <w:jc w:val="right"/>
                    <w:rPr>
                      <w:rFonts w:ascii="Calibri" w:hAnsi="Calibri" w:cs="Calibri"/>
                      <w:color w:val="000000"/>
                      <w:sz w:val="22"/>
                      <w:szCs w:val="22"/>
                      <w:lang w:val="lv-LV"/>
                    </w:rPr>
                  </w:pPr>
                  <w:r w:rsidRPr="00EF101D">
                    <w:rPr>
                      <w:rFonts w:ascii="Calibri" w:hAnsi="Calibri" w:cs="Calibri"/>
                      <w:color w:val="000000"/>
                      <w:sz w:val="22"/>
                      <w:szCs w:val="22"/>
                    </w:rPr>
                    <w:t>34</w:t>
                  </w:r>
                  <w:r w:rsidR="006B0EF3">
                    <w:rPr>
                      <w:rFonts w:ascii="Calibri" w:hAnsi="Calibri" w:cs="Calibri"/>
                      <w:color w:val="000000"/>
                      <w:sz w:val="22"/>
                      <w:szCs w:val="22"/>
                      <w:lang w:val="lv-LV"/>
                    </w:rPr>
                    <w:t>,00</w:t>
                  </w:r>
                </w:p>
              </w:tc>
              <w:tc>
                <w:tcPr>
                  <w:tcW w:w="1014" w:type="dxa"/>
                  <w:tcBorders>
                    <w:top w:val="nil"/>
                    <w:left w:val="nil"/>
                    <w:bottom w:val="single" w:sz="4" w:space="0" w:color="auto"/>
                    <w:right w:val="single" w:sz="4" w:space="0" w:color="auto"/>
                  </w:tcBorders>
                  <w:shd w:val="clear" w:color="auto" w:fill="auto"/>
                  <w:noWrap/>
                  <w:vAlign w:val="bottom"/>
                  <w:hideMark/>
                </w:tcPr>
                <w:p w:rsidR="00EF101D" w:rsidRPr="00EF101D" w:rsidRDefault="00EF101D" w:rsidP="00EF101D">
                  <w:pPr>
                    <w:jc w:val="right"/>
                    <w:rPr>
                      <w:rFonts w:ascii="Calibri" w:hAnsi="Calibri" w:cs="Calibri"/>
                      <w:color w:val="000000"/>
                      <w:sz w:val="22"/>
                      <w:szCs w:val="22"/>
                    </w:rPr>
                  </w:pPr>
                  <w:r w:rsidRPr="00EF101D">
                    <w:rPr>
                      <w:rFonts w:ascii="Calibri" w:hAnsi="Calibri" w:cs="Calibri"/>
                      <w:color w:val="000000"/>
                      <w:sz w:val="22"/>
                      <w:szCs w:val="22"/>
                    </w:rPr>
                    <w:t>41,14</w:t>
                  </w:r>
                </w:p>
              </w:tc>
              <w:tc>
                <w:tcPr>
                  <w:tcW w:w="792" w:type="dxa"/>
                  <w:vAlign w:val="center"/>
                  <w:hideMark/>
                </w:tcPr>
                <w:p w:rsidR="00EF101D" w:rsidRPr="00EF101D" w:rsidRDefault="00EF101D" w:rsidP="00EF101D">
                  <w:pPr>
                    <w:rPr>
                      <w:sz w:val="20"/>
                      <w:szCs w:val="20"/>
                    </w:rPr>
                  </w:pPr>
                </w:p>
              </w:tc>
            </w:tr>
          </w:tbl>
          <w:p w:rsidR="00EF101D" w:rsidRPr="00C46A59" w:rsidRDefault="00EF101D" w:rsidP="00EF101D">
            <w:pPr>
              <w:rPr>
                <w:rFonts w:ascii="Verdana" w:hAnsi="Verdana"/>
                <w:sz w:val="20"/>
                <w:szCs w:val="20"/>
              </w:rPr>
            </w:pPr>
          </w:p>
        </w:tc>
      </w:tr>
      <w:tr w:rsidR="007B3FF1" w:rsidRPr="007B3FF1" w:rsidTr="00EF101D">
        <w:tc>
          <w:tcPr>
            <w:tcW w:w="5209"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lang w:val="lv-LV"/>
              </w:rPr>
              <w:t>3</w:t>
            </w:r>
            <w:r w:rsidRPr="007B3FF1">
              <w:rPr>
                <w:rFonts w:ascii="Verdana" w:hAnsi="Verdana"/>
                <w:b/>
                <w:bCs/>
                <w:color w:val="3399CC"/>
                <w:sz w:val="20"/>
                <w:szCs w:val="20"/>
              </w:rPr>
              <w:t>.</w:t>
            </w:r>
            <w:r w:rsidRPr="007B3FF1">
              <w:rPr>
                <w:rFonts w:ascii="Verdana" w:hAnsi="Verdana"/>
                <w:b/>
                <w:bCs/>
                <w:color w:val="3399CC"/>
                <w:sz w:val="20"/>
                <w:szCs w:val="20"/>
              </w:rPr>
              <w:tab/>
              <w:t>RĒĶINA SAGATAVOŠANA UN NOSŪTĪŠANA</w:t>
            </w:r>
          </w:p>
        </w:tc>
        <w:tc>
          <w:tcPr>
            <w:tcW w:w="5247"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3.</w:t>
            </w:r>
            <w:r w:rsidRPr="007B3FF1">
              <w:rPr>
                <w:rFonts w:ascii="Verdana" w:hAnsi="Verdana"/>
                <w:b/>
                <w:bCs/>
                <w:color w:val="3399CC"/>
                <w:sz w:val="20"/>
                <w:szCs w:val="20"/>
              </w:rPr>
              <w:tab/>
              <w:t>ISSUING AND SENDING AN INVOICE</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t>3.</w:t>
            </w:r>
            <w:r w:rsidRPr="00EF101D">
              <w:rPr>
                <w:rFonts w:ascii="Verdana" w:hAnsi="Verdana"/>
                <w:sz w:val="20"/>
                <w:szCs w:val="20"/>
              </w:rPr>
              <w:t>1.</w:t>
            </w:r>
            <w:r w:rsidRPr="00EF101D">
              <w:rPr>
                <w:rFonts w:ascii="Verdana" w:hAnsi="Verdana"/>
                <w:sz w:val="20"/>
                <w:szCs w:val="20"/>
              </w:rPr>
              <w:tab/>
              <w:t>Pēc Reģistrācijas paziņojuma Reģistra uzturētājs sagatavo priekšapmaksas rēķinu par domēna vārda reģistrāciju un lietošanas tiesībām uz reģistrācijas pieteikumā norādīto periodu un nosūta to lietotājam.</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3.</w:t>
            </w:r>
            <w:r w:rsidRPr="00C46A59">
              <w:rPr>
                <w:rFonts w:ascii="Verdana" w:hAnsi="Verdana"/>
                <w:sz w:val="20"/>
                <w:szCs w:val="20"/>
              </w:rPr>
              <w:t>1.</w:t>
            </w:r>
            <w:r w:rsidRPr="00C46A59">
              <w:rPr>
                <w:rFonts w:ascii="Verdana" w:hAnsi="Verdana"/>
                <w:sz w:val="20"/>
                <w:szCs w:val="20"/>
              </w:rPr>
              <w:tab/>
              <w:t>After the registration notification is sent, the Registry issues a prepayment invoice for the domain name registration and the right to use the domain name for the period specified in the application and sends it to the domain name holder.</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t>3.</w:t>
            </w:r>
            <w:r w:rsidRPr="00EF101D">
              <w:rPr>
                <w:rFonts w:ascii="Verdana" w:hAnsi="Verdana"/>
                <w:sz w:val="20"/>
                <w:szCs w:val="20"/>
              </w:rPr>
              <w:t>2.</w:t>
            </w:r>
            <w:r w:rsidRPr="00EF101D">
              <w:rPr>
                <w:rFonts w:ascii="Verdana" w:hAnsi="Verdana"/>
                <w:sz w:val="20"/>
                <w:szCs w:val="20"/>
              </w:rPr>
              <w:tab/>
              <w:t>Vienu mēnesi pirms apmaksātā lietošanas tiesību perioda beigām Reģistra uzturētājs sagatavo priekšapmaksas rēķinu par lietošanas tiesību pagarināšanu uz norādīto periodu un nosūta to lietotājam.</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3.</w:t>
            </w:r>
            <w:r w:rsidRPr="00C46A59">
              <w:rPr>
                <w:rFonts w:ascii="Verdana" w:hAnsi="Verdana"/>
                <w:sz w:val="20"/>
                <w:szCs w:val="20"/>
              </w:rPr>
              <w:t>2.</w:t>
            </w:r>
            <w:r w:rsidRPr="00C46A59">
              <w:rPr>
                <w:rFonts w:ascii="Verdana" w:hAnsi="Verdana"/>
                <w:sz w:val="20"/>
                <w:szCs w:val="20"/>
              </w:rPr>
              <w:tab/>
              <w:t>One month prior to the expiry of the right to use the domain name, the Registry issues a prepayment invoice for the renewal of the right to use the domain name and sends it to the domain name holder.</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t>3.</w:t>
            </w:r>
            <w:r w:rsidRPr="00EF101D">
              <w:rPr>
                <w:rFonts w:ascii="Verdana" w:hAnsi="Verdana"/>
                <w:sz w:val="20"/>
                <w:szCs w:val="20"/>
              </w:rPr>
              <w:t>3.</w:t>
            </w:r>
            <w:r w:rsidRPr="00EF101D">
              <w:rPr>
                <w:rFonts w:ascii="Verdana" w:hAnsi="Verdana"/>
                <w:sz w:val="20"/>
                <w:szCs w:val="20"/>
              </w:rPr>
              <w:tab/>
              <w:t>Rēķins (t.sk. priekšapmaksas rēķins) tiek sagatavots elektroniski un ir derīgs bez paraksta.</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3.</w:t>
            </w:r>
            <w:r w:rsidRPr="00C46A59">
              <w:rPr>
                <w:rFonts w:ascii="Verdana" w:hAnsi="Verdana"/>
                <w:sz w:val="20"/>
                <w:szCs w:val="20"/>
              </w:rPr>
              <w:t>3.</w:t>
            </w:r>
            <w:r w:rsidRPr="00C46A59">
              <w:rPr>
                <w:rFonts w:ascii="Verdana" w:hAnsi="Verdana"/>
                <w:sz w:val="20"/>
                <w:szCs w:val="20"/>
              </w:rPr>
              <w:tab/>
              <w:t>An invoice (including a prepayment invoice) is issued electronically and is valid without a signature.</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t>3.</w:t>
            </w:r>
            <w:r w:rsidRPr="00EF101D">
              <w:rPr>
                <w:rFonts w:ascii="Verdana" w:hAnsi="Verdana"/>
                <w:sz w:val="20"/>
                <w:szCs w:val="20"/>
              </w:rPr>
              <w:t>4.</w:t>
            </w:r>
            <w:r w:rsidRPr="00EF101D">
              <w:rPr>
                <w:rFonts w:ascii="Verdana" w:hAnsi="Verdana"/>
                <w:sz w:val="20"/>
                <w:szCs w:val="20"/>
              </w:rPr>
              <w:tab/>
              <w:t>Priekšapmaksas rēķins par domēna vārda reģistrāciju un lietošanas tiesībām tiek sūtīts lietotājam pieteikumā vai Sistēmā norādītā veidā. Lietotājam, kas ir fiziska persona, priekšapmaksas rēķins tiek sūtīts, izmantojot elektronisko pastu.</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3.</w:t>
            </w:r>
            <w:r w:rsidRPr="00C46A59">
              <w:rPr>
                <w:rFonts w:ascii="Verdana" w:hAnsi="Verdana"/>
                <w:sz w:val="20"/>
                <w:szCs w:val="20"/>
              </w:rPr>
              <w:t>4.</w:t>
            </w:r>
            <w:r w:rsidRPr="00C46A59">
              <w:rPr>
                <w:rFonts w:ascii="Verdana" w:hAnsi="Verdana"/>
                <w:sz w:val="20"/>
                <w:szCs w:val="20"/>
              </w:rPr>
              <w:tab/>
              <w:t xml:space="preserve">The prepayment invoice for the domain name registration and the right to use the domain name is sent to the domain name holder in the way specified in the domain name registration application or the System. If the </w:t>
            </w:r>
            <w:r w:rsidRPr="00C46A59">
              <w:rPr>
                <w:rFonts w:ascii="Verdana" w:hAnsi="Verdana"/>
                <w:sz w:val="20"/>
                <w:szCs w:val="20"/>
              </w:rPr>
              <w:lastRenderedPageBreak/>
              <w:t>domain name holder is a natural person, the invoice is sent electronically.</w:t>
            </w:r>
          </w:p>
        </w:tc>
      </w:tr>
      <w:tr w:rsidR="00EF101D" w:rsidRPr="00EF101D" w:rsidTr="00EF101D">
        <w:tc>
          <w:tcPr>
            <w:tcW w:w="5209" w:type="dxa"/>
          </w:tcPr>
          <w:p w:rsidR="00EF101D" w:rsidRPr="00EF101D" w:rsidRDefault="00EF101D" w:rsidP="00EF101D">
            <w:pPr>
              <w:rPr>
                <w:rFonts w:ascii="Verdana" w:hAnsi="Verdana"/>
                <w:sz w:val="20"/>
                <w:szCs w:val="20"/>
              </w:rPr>
            </w:pPr>
            <w:r w:rsidRPr="00EF101D">
              <w:rPr>
                <w:rFonts w:ascii="Verdana" w:hAnsi="Verdana"/>
                <w:sz w:val="20"/>
                <w:szCs w:val="20"/>
                <w:lang w:val="lv-LV"/>
              </w:rPr>
              <w:lastRenderedPageBreak/>
              <w:t>3.</w:t>
            </w:r>
            <w:r w:rsidRPr="00EF101D">
              <w:rPr>
                <w:rFonts w:ascii="Verdana" w:hAnsi="Verdana"/>
                <w:sz w:val="20"/>
                <w:szCs w:val="20"/>
              </w:rPr>
              <w:t>5.</w:t>
            </w:r>
            <w:r w:rsidRPr="00EF101D">
              <w:rPr>
                <w:rFonts w:ascii="Verdana" w:hAnsi="Verdana"/>
                <w:sz w:val="20"/>
                <w:szCs w:val="20"/>
              </w:rPr>
              <w:tab/>
              <w:t>Domēna vārda lietotājam vai administratīvai kontaktpersonai, autorizējoties Sistēmā ar lietotāja vārdu un paroli, pieejams priekšapmaksas rēķins līdz tā apmaksai un nodokļu rēķins pēc priekšapmaksas rēķina apmaksas.</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3.</w:t>
            </w:r>
            <w:r w:rsidRPr="00C46A59">
              <w:rPr>
                <w:rFonts w:ascii="Verdana" w:hAnsi="Verdana"/>
                <w:sz w:val="20"/>
                <w:szCs w:val="20"/>
              </w:rPr>
              <w:t>5.</w:t>
            </w:r>
            <w:r w:rsidRPr="00C46A59">
              <w:rPr>
                <w:rFonts w:ascii="Verdana" w:hAnsi="Verdana"/>
                <w:sz w:val="20"/>
                <w:szCs w:val="20"/>
              </w:rPr>
              <w:tab/>
              <w:t>In the System the prepayment invoice is available to the domain name holder or administrative contact after authorisation until the invoice is paid up and after that the tax invoice is available.</w:t>
            </w:r>
          </w:p>
        </w:tc>
      </w:tr>
      <w:tr w:rsidR="007B3FF1" w:rsidRPr="007B3FF1" w:rsidTr="00EF101D">
        <w:tc>
          <w:tcPr>
            <w:tcW w:w="5209"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lang w:val="lv-LV"/>
              </w:rPr>
              <w:t>4</w:t>
            </w:r>
            <w:r w:rsidRPr="007B3FF1">
              <w:rPr>
                <w:rFonts w:ascii="Verdana" w:hAnsi="Verdana"/>
                <w:b/>
                <w:bCs/>
                <w:color w:val="3399CC"/>
                <w:sz w:val="20"/>
                <w:szCs w:val="20"/>
              </w:rPr>
              <w:t>.</w:t>
            </w:r>
            <w:r w:rsidRPr="007B3FF1">
              <w:rPr>
                <w:rFonts w:ascii="Verdana" w:hAnsi="Verdana"/>
                <w:b/>
                <w:bCs/>
                <w:color w:val="3399CC"/>
                <w:sz w:val="20"/>
                <w:szCs w:val="20"/>
              </w:rPr>
              <w:tab/>
              <w:t>RĒĶINA APMAKSAS KĀRTĪBA</w:t>
            </w:r>
          </w:p>
        </w:tc>
        <w:tc>
          <w:tcPr>
            <w:tcW w:w="5247"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4.</w:t>
            </w:r>
            <w:r w:rsidRPr="007B3FF1">
              <w:rPr>
                <w:rFonts w:ascii="Verdana" w:hAnsi="Verdana"/>
                <w:b/>
                <w:bCs/>
                <w:color w:val="3399CC"/>
                <w:sz w:val="20"/>
                <w:szCs w:val="20"/>
              </w:rPr>
              <w:tab/>
              <w:t>PAYMENT PROCEDURE</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4</w:t>
            </w:r>
            <w:r w:rsidRPr="00EF101D">
              <w:rPr>
                <w:rFonts w:ascii="Verdana" w:hAnsi="Verdana"/>
                <w:sz w:val="20"/>
                <w:szCs w:val="20"/>
                <w:lang w:val="lv-LV"/>
              </w:rPr>
              <w:t>.</w:t>
            </w:r>
            <w:r w:rsidRPr="00EF101D">
              <w:rPr>
                <w:rFonts w:ascii="Verdana" w:hAnsi="Verdana"/>
                <w:sz w:val="20"/>
                <w:szCs w:val="20"/>
              </w:rPr>
              <w:t>1.</w:t>
            </w:r>
            <w:r w:rsidRPr="00EF101D">
              <w:rPr>
                <w:rFonts w:ascii="Verdana" w:hAnsi="Verdana"/>
                <w:sz w:val="20"/>
                <w:szCs w:val="20"/>
              </w:rPr>
              <w:tab/>
              <w:t>Domēna vārda lietotājs ir atbildīgs par savlaicīgu maksājumu veikšanu pilnā apmērā.</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4.</w:t>
            </w:r>
            <w:r w:rsidRPr="00C46A59">
              <w:rPr>
                <w:rFonts w:ascii="Verdana" w:hAnsi="Verdana"/>
                <w:sz w:val="20"/>
                <w:szCs w:val="20"/>
              </w:rPr>
              <w:t>1.</w:t>
            </w:r>
            <w:r w:rsidRPr="00C46A59">
              <w:rPr>
                <w:rFonts w:ascii="Verdana" w:hAnsi="Verdana"/>
                <w:sz w:val="20"/>
                <w:szCs w:val="20"/>
              </w:rPr>
              <w:tab/>
              <w:t>Due payment in full amount is the responsibility of the domain name holder.</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4</w:t>
            </w:r>
            <w:r w:rsidRPr="00EF101D">
              <w:rPr>
                <w:rFonts w:ascii="Verdana" w:hAnsi="Verdana"/>
                <w:sz w:val="20"/>
                <w:szCs w:val="20"/>
                <w:lang w:val="lv-LV"/>
              </w:rPr>
              <w:t>.</w:t>
            </w:r>
            <w:r w:rsidRPr="00EF101D">
              <w:rPr>
                <w:rFonts w:ascii="Verdana" w:hAnsi="Verdana"/>
                <w:sz w:val="20"/>
                <w:szCs w:val="20"/>
              </w:rPr>
              <w:t>2.</w:t>
            </w:r>
            <w:r w:rsidRPr="00EF101D">
              <w:rPr>
                <w:rFonts w:ascii="Verdana" w:hAnsi="Verdana"/>
                <w:sz w:val="20"/>
                <w:szCs w:val="20"/>
              </w:rPr>
              <w:tab/>
              <w:t>Priekšapmaksas rēķins par domēna vārda reģistrāciju un lietošanas tiesībām ir jāapmaksā 14 dienu laikā no rēķina izrakstīšanas dienas.</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4.</w:t>
            </w:r>
            <w:r w:rsidRPr="00C46A59">
              <w:rPr>
                <w:rFonts w:ascii="Verdana" w:hAnsi="Verdana"/>
                <w:sz w:val="20"/>
                <w:szCs w:val="20"/>
              </w:rPr>
              <w:t>2.</w:t>
            </w:r>
            <w:r w:rsidRPr="00C46A59">
              <w:rPr>
                <w:rFonts w:ascii="Verdana" w:hAnsi="Verdana"/>
                <w:sz w:val="20"/>
                <w:szCs w:val="20"/>
              </w:rPr>
              <w:tab/>
              <w:t>The payment for the domain name registration and the right to use the domain name shall be made within 14 days of the issuance of the prepayment invoice.</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4</w:t>
            </w:r>
            <w:r w:rsidRPr="00EF101D">
              <w:rPr>
                <w:rFonts w:ascii="Verdana" w:hAnsi="Verdana"/>
                <w:sz w:val="20"/>
                <w:szCs w:val="20"/>
                <w:lang w:val="lv-LV"/>
              </w:rPr>
              <w:t>.</w:t>
            </w:r>
            <w:r w:rsidRPr="00EF101D">
              <w:rPr>
                <w:rFonts w:ascii="Verdana" w:hAnsi="Verdana"/>
                <w:sz w:val="20"/>
                <w:szCs w:val="20"/>
              </w:rPr>
              <w:t>3.</w:t>
            </w:r>
            <w:r w:rsidRPr="00EF101D">
              <w:rPr>
                <w:rFonts w:ascii="Verdana" w:hAnsi="Verdana"/>
                <w:sz w:val="20"/>
                <w:szCs w:val="20"/>
              </w:rPr>
              <w:tab/>
              <w:t>Priekšapmaksas rēķins par lietošanas tiesību pagarināšanu ir jāapmaksā līdz apmaksātā domēna vārda lietošanas tiesību perioda beigām.</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4.</w:t>
            </w:r>
            <w:r w:rsidRPr="00C46A59">
              <w:rPr>
                <w:rFonts w:ascii="Verdana" w:hAnsi="Verdana"/>
                <w:sz w:val="20"/>
                <w:szCs w:val="20"/>
              </w:rPr>
              <w:t>3.</w:t>
            </w:r>
            <w:r w:rsidRPr="00C46A59">
              <w:rPr>
                <w:rFonts w:ascii="Verdana" w:hAnsi="Verdana"/>
                <w:sz w:val="20"/>
                <w:szCs w:val="20"/>
              </w:rPr>
              <w:tab/>
              <w:t>The payment for the domain name renewal shall be made till the end of the paid up period for the right to use domain name.</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4</w:t>
            </w:r>
            <w:r w:rsidRPr="00EF101D">
              <w:rPr>
                <w:rFonts w:ascii="Verdana" w:hAnsi="Verdana"/>
                <w:sz w:val="20"/>
                <w:szCs w:val="20"/>
                <w:lang w:val="lv-LV"/>
              </w:rPr>
              <w:t>.</w:t>
            </w:r>
            <w:r w:rsidRPr="00EF101D">
              <w:rPr>
                <w:rFonts w:ascii="Verdana" w:hAnsi="Verdana"/>
                <w:sz w:val="20"/>
                <w:szCs w:val="20"/>
              </w:rPr>
              <w:t>4.</w:t>
            </w:r>
            <w:r w:rsidRPr="00EF101D">
              <w:rPr>
                <w:rFonts w:ascii="Verdana" w:hAnsi="Verdana"/>
                <w:sz w:val="20"/>
                <w:szCs w:val="20"/>
              </w:rPr>
              <w:tab/>
              <w:t>Pēc priekšapmaksas rēķina apmaksas veikšanas dati rēķinā netiek mainīti un tiek sagatavots nodokļu rēķins. Datu maiņu rēķinā drīkst veikt līdz priekšapmaksa rēķina apmaksai, nosūtot pieprasījumu uz elektronisko pastu billing@nic.lv.</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4.</w:t>
            </w:r>
            <w:r w:rsidRPr="00C46A59">
              <w:rPr>
                <w:rFonts w:ascii="Verdana" w:hAnsi="Verdana"/>
                <w:sz w:val="20"/>
                <w:szCs w:val="20"/>
              </w:rPr>
              <w:t>4.</w:t>
            </w:r>
            <w:r w:rsidRPr="00C46A59">
              <w:rPr>
                <w:rFonts w:ascii="Verdana" w:hAnsi="Verdana"/>
                <w:sz w:val="20"/>
                <w:szCs w:val="20"/>
              </w:rPr>
              <w:tab/>
              <w:t>After the payment, the details in the prepayment invoice cannot be changed. The details can be changed in the invoice before the payment is made by sending a request to billing@nic.lv.</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4</w:t>
            </w:r>
            <w:r w:rsidRPr="00EF101D">
              <w:rPr>
                <w:rFonts w:ascii="Verdana" w:hAnsi="Verdana"/>
                <w:sz w:val="20"/>
                <w:szCs w:val="20"/>
                <w:lang w:val="lv-LV"/>
              </w:rPr>
              <w:t>.</w:t>
            </w:r>
            <w:r w:rsidRPr="00EF101D">
              <w:rPr>
                <w:rFonts w:ascii="Verdana" w:hAnsi="Verdana"/>
                <w:sz w:val="20"/>
                <w:szCs w:val="20"/>
              </w:rPr>
              <w:t>5.</w:t>
            </w:r>
            <w:r w:rsidRPr="00EF101D">
              <w:rPr>
                <w:rFonts w:ascii="Verdana" w:hAnsi="Verdana"/>
                <w:sz w:val="20"/>
                <w:szCs w:val="20"/>
              </w:rPr>
              <w:tab/>
              <w:t>Priekšapmaksas rēķina nesaņemšana nav attaisnojošs iemesls apmaksas neveikšanai noteiktajā termiņā. Veiktie maksājumi netiek atmaksāti, ja pakalpojuma sniegšana ir jau uzsākta.</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4.</w:t>
            </w:r>
            <w:r w:rsidRPr="00C46A59">
              <w:rPr>
                <w:rFonts w:ascii="Verdana" w:hAnsi="Verdana"/>
                <w:sz w:val="20"/>
                <w:szCs w:val="20"/>
              </w:rPr>
              <w:t>5.</w:t>
            </w:r>
            <w:r w:rsidRPr="00C46A59">
              <w:rPr>
                <w:rFonts w:ascii="Verdana" w:hAnsi="Verdana"/>
                <w:sz w:val="20"/>
                <w:szCs w:val="20"/>
              </w:rPr>
              <w:tab/>
              <w:t>Failure to receive the prepayment invoice cannot be regarded as a valid reason for not making the prepayment in due time. The effected payments are not reimbursable, if the provision of the service has already begun.</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4</w:t>
            </w:r>
            <w:r w:rsidRPr="00EF101D">
              <w:rPr>
                <w:rFonts w:ascii="Verdana" w:hAnsi="Verdana"/>
                <w:sz w:val="20"/>
                <w:szCs w:val="20"/>
                <w:lang w:val="lv-LV"/>
              </w:rPr>
              <w:t>.</w:t>
            </w:r>
            <w:r w:rsidRPr="00EF101D">
              <w:rPr>
                <w:rFonts w:ascii="Verdana" w:hAnsi="Verdana"/>
                <w:sz w:val="20"/>
                <w:szCs w:val="20"/>
              </w:rPr>
              <w:t>6.</w:t>
            </w:r>
            <w:r w:rsidRPr="00EF101D">
              <w:rPr>
                <w:rFonts w:ascii="Verdana" w:hAnsi="Verdana"/>
                <w:sz w:val="20"/>
                <w:szCs w:val="20"/>
              </w:rPr>
              <w:tab/>
              <w:t>Ja priekšapmaksa rēķinā norādītajā termiņā maksājums nav saņemts, Reģistra uzturētājs rīkojas saskaņā ar Domēna vārdu lietošanas noteikumu augstākā līmeņa domēnā .lv un uzsāk līguma izbeigšanas procedūru.</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4.</w:t>
            </w:r>
            <w:r w:rsidRPr="00C46A59">
              <w:rPr>
                <w:rFonts w:ascii="Verdana" w:hAnsi="Verdana"/>
                <w:sz w:val="20"/>
                <w:szCs w:val="20"/>
              </w:rPr>
              <w:t>6.</w:t>
            </w:r>
            <w:r w:rsidRPr="00C46A59">
              <w:rPr>
                <w:rFonts w:ascii="Verdana" w:hAnsi="Verdana"/>
                <w:sz w:val="20"/>
                <w:szCs w:val="20"/>
              </w:rPr>
              <w:tab/>
              <w:t>If the prepayment is not received within the due time, the Registry proceeds with termination of agreement in accordance with the Policy for acquisition of the right to use domain names under the top level domain .lv.</w:t>
            </w:r>
          </w:p>
        </w:tc>
      </w:tr>
      <w:tr w:rsidR="007B3FF1" w:rsidRPr="007B3FF1" w:rsidTr="00EF101D">
        <w:tc>
          <w:tcPr>
            <w:tcW w:w="5209"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lang w:val="lv-LV"/>
              </w:rPr>
              <w:t>5</w:t>
            </w:r>
            <w:r w:rsidRPr="007B3FF1">
              <w:rPr>
                <w:rFonts w:ascii="Verdana" w:hAnsi="Verdana"/>
                <w:b/>
                <w:bCs/>
                <w:color w:val="3399CC"/>
                <w:sz w:val="20"/>
                <w:szCs w:val="20"/>
              </w:rPr>
              <w:t>.</w:t>
            </w:r>
            <w:r w:rsidRPr="007B3FF1">
              <w:rPr>
                <w:rFonts w:ascii="Verdana" w:hAnsi="Verdana"/>
                <w:b/>
                <w:bCs/>
                <w:color w:val="3399CC"/>
                <w:sz w:val="20"/>
                <w:szCs w:val="20"/>
              </w:rPr>
              <w:tab/>
              <w:t>GROZĪJUMI</w:t>
            </w:r>
          </w:p>
        </w:tc>
        <w:tc>
          <w:tcPr>
            <w:tcW w:w="5247" w:type="dxa"/>
          </w:tcPr>
          <w:p w:rsidR="00EF101D" w:rsidRPr="007B3FF1" w:rsidRDefault="00EF101D" w:rsidP="00EF101D">
            <w:pPr>
              <w:rPr>
                <w:rFonts w:ascii="Verdana" w:hAnsi="Verdana"/>
                <w:b/>
                <w:bCs/>
                <w:color w:val="3399CC"/>
                <w:sz w:val="20"/>
                <w:szCs w:val="20"/>
              </w:rPr>
            </w:pPr>
            <w:r w:rsidRPr="007B3FF1">
              <w:rPr>
                <w:rFonts w:ascii="Verdana" w:hAnsi="Verdana"/>
                <w:b/>
                <w:bCs/>
                <w:color w:val="3399CC"/>
                <w:sz w:val="20"/>
                <w:szCs w:val="20"/>
              </w:rPr>
              <w:t>5.</w:t>
            </w:r>
            <w:r w:rsidRPr="007B3FF1">
              <w:rPr>
                <w:rFonts w:ascii="Verdana" w:hAnsi="Verdana"/>
                <w:b/>
                <w:bCs/>
                <w:color w:val="3399CC"/>
                <w:sz w:val="20"/>
                <w:szCs w:val="20"/>
              </w:rPr>
              <w:tab/>
              <w:t>CHANGE OF POLICY</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5</w:t>
            </w:r>
            <w:r w:rsidRPr="00EF101D">
              <w:rPr>
                <w:rFonts w:ascii="Verdana" w:hAnsi="Verdana"/>
                <w:sz w:val="20"/>
                <w:szCs w:val="20"/>
                <w:lang w:val="lv-LV"/>
              </w:rPr>
              <w:t>.</w:t>
            </w:r>
            <w:r w:rsidRPr="00EF101D">
              <w:rPr>
                <w:rFonts w:ascii="Verdana" w:hAnsi="Verdana"/>
                <w:sz w:val="20"/>
                <w:szCs w:val="20"/>
              </w:rPr>
              <w:t>1.</w:t>
            </w:r>
            <w:r w:rsidRPr="00EF101D">
              <w:rPr>
                <w:rFonts w:ascii="Verdana" w:hAnsi="Verdana"/>
                <w:sz w:val="20"/>
                <w:szCs w:val="20"/>
              </w:rPr>
              <w:tab/>
              <w:t>Reģistra uzturētāja cenrādis un norēķinu kārtība pēc nepieciešamības var tikt grozīta. Visas izmaiņas tiks publicētas www.nic.lv interneta vietnē, sniedzot īpašu paziņojumu par izmaiņām.</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5.</w:t>
            </w:r>
            <w:r w:rsidRPr="00C46A59">
              <w:rPr>
                <w:rFonts w:ascii="Verdana" w:hAnsi="Verdana"/>
                <w:sz w:val="20"/>
                <w:szCs w:val="20"/>
              </w:rPr>
              <w:t>1.</w:t>
            </w:r>
            <w:r w:rsidRPr="00C46A59">
              <w:rPr>
                <w:rFonts w:ascii="Verdana" w:hAnsi="Verdana"/>
                <w:sz w:val="20"/>
                <w:szCs w:val="20"/>
              </w:rPr>
              <w:tab/>
              <w:t>The Price list and payment policy of NIC.LV can be changed if necessary. The Registry will publish all changes of this policy on the website www.nic.lv by special announcement of the changes.</w:t>
            </w:r>
          </w:p>
        </w:tc>
      </w:tr>
      <w:tr w:rsidR="00EF101D" w:rsidRPr="00EF101D" w:rsidTr="00EF101D">
        <w:tc>
          <w:tcPr>
            <w:tcW w:w="5209" w:type="dxa"/>
          </w:tcPr>
          <w:p w:rsidR="00EF101D" w:rsidRPr="00EF101D" w:rsidRDefault="00EF101D" w:rsidP="00EF101D">
            <w:pPr>
              <w:rPr>
                <w:rFonts w:ascii="Verdana" w:hAnsi="Verdana"/>
                <w:sz w:val="20"/>
                <w:szCs w:val="20"/>
              </w:rPr>
            </w:pPr>
            <w:r>
              <w:rPr>
                <w:rFonts w:ascii="Verdana" w:hAnsi="Verdana"/>
                <w:sz w:val="20"/>
                <w:szCs w:val="20"/>
                <w:lang w:val="lv-LV"/>
              </w:rPr>
              <w:t>5</w:t>
            </w:r>
            <w:r w:rsidRPr="00EF101D">
              <w:rPr>
                <w:rFonts w:ascii="Verdana" w:hAnsi="Verdana"/>
                <w:sz w:val="20"/>
                <w:szCs w:val="20"/>
                <w:lang w:val="lv-LV"/>
              </w:rPr>
              <w:t>.</w:t>
            </w:r>
            <w:r w:rsidRPr="00EF101D">
              <w:rPr>
                <w:rFonts w:ascii="Verdana" w:hAnsi="Verdana"/>
                <w:sz w:val="20"/>
                <w:szCs w:val="20"/>
              </w:rPr>
              <w:t>2.</w:t>
            </w:r>
            <w:r w:rsidRPr="00EF101D">
              <w:rPr>
                <w:rFonts w:ascii="Verdana" w:hAnsi="Verdana"/>
                <w:sz w:val="20"/>
                <w:szCs w:val="20"/>
              </w:rPr>
              <w:tab/>
              <w:t>Gadījumā, ja stājas spēkā izmaiņas Latvijas Republikas normatīvajos aktos, kas maina pievienotās vērtības nodokļa likmi vai citu uz pakalpojumu attiecināmu nodokli, tad par nemainīgu tiek uzskatīta maksa bez nodokļiem, bet pievienotās vērtības nodoklis un citi nodokļi tiek piemēroti atbilstoši Latvijas Republikas normatīvo aktu aktuālajai redakcijai bez iepriekšēja paziņojuma par izmaiņām.</w:t>
            </w:r>
          </w:p>
        </w:tc>
        <w:tc>
          <w:tcPr>
            <w:tcW w:w="5247" w:type="dxa"/>
          </w:tcPr>
          <w:p w:rsidR="00EF101D" w:rsidRPr="00C46A59" w:rsidRDefault="00EF101D" w:rsidP="00EF101D">
            <w:pPr>
              <w:rPr>
                <w:rFonts w:ascii="Verdana" w:hAnsi="Verdana"/>
                <w:sz w:val="20"/>
                <w:szCs w:val="20"/>
              </w:rPr>
            </w:pPr>
            <w:r>
              <w:rPr>
                <w:rFonts w:ascii="Verdana" w:hAnsi="Verdana"/>
                <w:sz w:val="20"/>
                <w:szCs w:val="20"/>
                <w:lang w:val="lv-LV"/>
              </w:rPr>
              <w:t>5.</w:t>
            </w:r>
            <w:r w:rsidRPr="00C46A59">
              <w:rPr>
                <w:rFonts w:ascii="Verdana" w:hAnsi="Verdana"/>
                <w:sz w:val="20"/>
                <w:szCs w:val="20"/>
              </w:rPr>
              <w:t>2.</w:t>
            </w:r>
            <w:r w:rsidRPr="00C46A59">
              <w:rPr>
                <w:rFonts w:ascii="Verdana" w:hAnsi="Verdana"/>
                <w:sz w:val="20"/>
                <w:szCs w:val="20"/>
              </w:rPr>
              <w:tab/>
              <w:t>If amendments to the regulatory enactments of the Republic of Latvia require a change of the value added tax or any other applicable tax, the changes are enacted, as prescribed.</w:t>
            </w:r>
          </w:p>
        </w:tc>
      </w:tr>
    </w:tbl>
    <w:p w:rsidR="00EF101D" w:rsidRPr="00EF101D" w:rsidRDefault="00EF101D" w:rsidP="00EF101D">
      <w:pPr>
        <w:rPr>
          <w:rFonts w:ascii="Verdana" w:hAnsi="Verdana"/>
          <w:sz w:val="20"/>
          <w:szCs w:val="20"/>
        </w:rPr>
      </w:pPr>
    </w:p>
    <w:sectPr w:rsidR="00EF101D" w:rsidRPr="00EF101D" w:rsidSect="00EF1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1D"/>
    <w:rsid w:val="003207A7"/>
    <w:rsid w:val="006B0EF3"/>
    <w:rsid w:val="006E7AB5"/>
    <w:rsid w:val="007B3FF1"/>
    <w:rsid w:val="00980C5C"/>
    <w:rsid w:val="00B63C7B"/>
    <w:rsid w:val="00EF101D"/>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390F"/>
  <w15:chartTrackingRefBased/>
  <w15:docId w15:val="{E3D63488-0531-3642-8815-EB94ABB0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0302">
      <w:bodyDiv w:val="1"/>
      <w:marLeft w:val="0"/>
      <w:marRight w:val="0"/>
      <w:marTop w:val="0"/>
      <w:marBottom w:val="0"/>
      <w:divBdr>
        <w:top w:val="none" w:sz="0" w:space="0" w:color="auto"/>
        <w:left w:val="none" w:sz="0" w:space="0" w:color="auto"/>
        <w:bottom w:val="none" w:sz="0" w:space="0" w:color="auto"/>
        <w:right w:val="none" w:sz="0" w:space="0" w:color="auto"/>
      </w:divBdr>
    </w:div>
    <w:div w:id="5664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DB2E-9498-AC41-8AC9-C82EDC52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Skujiņa</dc:creator>
  <cp:keywords/>
  <dc:description/>
  <cp:lastModifiedBy>Dana Ludviga</cp:lastModifiedBy>
  <cp:revision>2</cp:revision>
  <dcterms:created xsi:type="dcterms:W3CDTF">2023-07-11T13:18:00Z</dcterms:created>
  <dcterms:modified xsi:type="dcterms:W3CDTF">2023-07-11T13:18:00Z</dcterms:modified>
</cp:coreProperties>
</file>